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C6" w:rsidRPr="0052328A" w:rsidRDefault="008E13C6" w:rsidP="005F7DF2">
      <w:pPr>
        <w:jc w:val="center"/>
        <w:rPr>
          <w:b/>
          <w:sz w:val="22"/>
          <w:szCs w:val="22"/>
          <w:u w:val="single"/>
        </w:rPr>
      </w:pPr>
      <w:r w:rsidRPr="0052328A">
        <w:rPr>
          <w:b/>
          <w:sz w:val="22"/>
          <w:szCs w:val="22"/>
          <w:u w:val="single"/>
        </w:rPr>
        <w:t>T</w:t>
      </w:r>
      <w:r w:rsidR="00DA1EC5" w:rsidRPr="0052328A">
        <w:rPr>
          <w:b/>
          <w:sz w:val="22"/>
          <w:szCs w:val="22"/>
          <w:u w:val="single"/>
        </w:rPr>
        <w:t>imescal</w:t>
      </w:r>
      <w:r w:rsidRPr="0052328A">
        <w:rPr>
          <w:b/>
          <w:sz w:val="22"/>
          <w:szCs w:val="22"/>
          <w:u w:val="single"/>
        </w:rPr>
        <w:t>e</w:t>
      </w:r>
      <w:r w:rsidR="00DA1EC5" w:rsidRPr="0052328A">
        <w:rPr>
          <w:b/>
          <w:sz w:val="22"/>
          <w:szCs w:val="22"/>
          <w:u w:val="single"/>
        </w:rPr>
        <w:t xml:space="preserve"> and Te</w:t>
      </w:r>
      <w:r w:rsidRPr="0052328A">
        <w:rPr>
          <w:b/>
          <w:sz w:val="22"/>
          <w:szCs w:val="22"/>
          <w:u w:val="single"/>
        </w:rPr>
        <w:t>rms of Reference</w:t>
      </w:r>
    </w:p>
    <w:p w:rsidR="005F7DF2" w:rsidRPr="0052328A" w:rsidRDefault="005F7DF2" w:rsidP="005F7DF2">
      <w:pPr>
        <w:jc w:val="center"/>
        <w:rPr>
          <w:b/>
          <w:sz w:val="22"/>
          <w:szCs w:val="22"/>
          <w:u w:val="single"/>
        </w:rPr>
      </w:pPr>
    </w:p>
    <w:p w:rsidR="005F7DF2" w:rsidRPr="0052328A" w:rsidRDefault="005F7DF2" w:rsidP="005F7DF2">
      <w:pPr>
        <w:rPr>
          <w:sz w:val="22"/>
          <w:szCs w:val="22"/>
        </w:rPr>
      </w:pPr>
    </w:p>
    <w:p w:rsidR="00DD1988" w:rsidRPr="0052328A" w:rsidRDefault="00DD1988" w:rsidP="005F7DF2">
      <w:pPr>
        <w:rPr>
          <w:b/>
          <w:sz w:val="22"/>
          <w:szCs w:val="22"/>
          <w:u w:val="single"/>
        </w:rPr>
      </w:pPr>
      <w:r w:rsidRPr="0052328A">
        <w:rPr>
          <w:b/>
          <w:sz w:val="22"/>
          <w:szCs w:val="22"/>
          <w:u w:val="single"/>
        </w:rPr>
        <w:t>I</w:t>
      </w:r>
      <w:r w:rsidR="0011221A" w:rsidRPr="0052328A">
        <w:rPr>
          <w:b/>
          <w:sz w:val="22"/>
          <w:szCs w:val="22"/>
          <w:u w:val="single"/>
        </w:rPr>
        <w:t>ntroduction</w:t>
      </w:r>
    </w:p>
    <w:p w:rsidR="0011221A" w:rsidRPr="0052328A" w:rsidRDefault="0011221A" w:rsidP="005F7DF2">
      <w:pPr>
        <w:rPr>
          <w:sz w:val="22"/>
          <w:szCs w:val="22"/>
        </w:rPr>
      </w:pPr>
      <w:r w:rsidRPr="0052328A">
        <w:rPr>
          <w:sz w:val="22"/>
          <w:szCs w:val="22"/>
        </w:rPr>
        <w:t>Swindon Borough Council is conducting a Review of Community Governance Arrangements within the Swindon Local Authority area in accordance with Part 4 Chapter 3 of the Local Government and Public Involvement in Health Act 2007.</w:t>
      </w:r>
    </w:p>
    <w:p w:rsidR="0011221A" w:rsidRPr="0052328A" w:rsidRDefault="0011221A" w:rsidP="005F7DF2">
      <w:pPr>
        <w:rPr>
          <w:sz w:val="22"/>
          <w:szCs w:val="22"/>
        </w:rPr>
      </w:pPr>
    </w:p>
    <w:p w:rsidR="00E73169" w:rsidRPr="0052328A" w:rsidRDefault="003F4717" w:rsidP="005F7DF2">
      <w:pPr>
        <w:rPr>
          <w:sz w:val="22"/>
          <w:szCs w:val="22"/>
        </w:rPr>
      </w:pPr>
      <w:r w:rsidRPr="0052328A">
        <w:rPr>
          <w:sz w:val="22"/>
          <w:szCs w:val="22"/>
        </w:rPr>
        <w:t xml:space="preserve">The Council is required </w:t>
      </w:r>
      <w:r w:rsidR="00DA1EC5" w:rsidRPr="0052328A">
        <w:rPr>
          <w:sz w:val="22"/>
          <w:szCs w:val="22"/>
        </w:rPr>
        <w:t>to have regard t</w:t>
      </w:r>
      <w:r w:rsidR="00E73169" w:rsidRPr="0052328A">
        <w:rPr>
          <w:sz w:val="22"/>
          <w:szCs w:val="22"/>
        </w:rPr>
        <w:t>o the Guidance on Community Governance Reviews issued by the Secretary</w:t>
      </w:r>
      <w:r w:rsidRPr="0052328A">
        <w:rPr>
          <w:sz w:val="22"/>
          <w:szCs w:val="22"/>
        </w:rPr>
        <w:t xml:space="preserve"> of State</w:t>
      </w:r>
      <w:r w:rsidR="00E73169" w:rsidRPr="0052328A">
        <w:rPr>
          <w:sz w:val="22"/>
          <w:szCs w:val="22"/>
        </w:rPr>
        <w:t xml:space="preserve"> for Communities and Local Government.  This guidance was considered when drawing up the</w:t>
      </w:r>
      <w:r w:rsidR="00DA1EC5" w:rsidRPr="0052328A">
        <w:rPr>
          <w:sz w:val="22"/>
          <w:szCs w:val="22"/>
        </w:rPr>
        <w:t>se</w:t>
      </w:r>
      <w:r w:rsidR="00E73169" w:rsidRPr="0052328A">
        <w:rPr>
          <w:sz w:val="22"/>
          <w:szCs w:val="22"/>
        </w:rPr>
        <w:t xml:space="preserve"> Terms of Reference (TOR).</w:t>
      </w:r>
    </w:p>
    <w:p w:rsidR="00DA1EC5" w:rsidRPr="0052328A" w:rsidRDefault="00DA1EC5" w:rsidP="005F7DF2">
      <w:pPr>
        <w:rPr>
          <w:sz w:val="22"/>
          <w:szCs w:val="22"/>
        </w:rPr>
      </w:pPr>
    </w:p>
    <w:p w:rsidR="00E73169" w:rsidRPr="0052328A" w:rsidRDefault="00E73169" w:rsidP="005F7DF2">
      <w:pPr>
        <w:rPr>
          <w:b/>
          <w:sz w:val="22"/>
          <w:szCs w:val="22"/>
          <w:u w:val="single"/>
        </w:rPr>
      </w:pPr>
      <w:r w:rsidRPr="0052328A">
        <w:rPr>
          <w:b/>
          <w:sz w:val="22"/>
          <w:szCs w:val="22"/>
          <w:u w:val="single"/>
        </w:rPr>
        <w:t xml:space="preserve">What is a Community Governance </w:t>
      </w:r>
      <w:proofErr w:type="gramStart"/>
      <w:r w:rsidRPr="0052328A">
        <w:rPr>
          <w:b/>
          <w:sz w:val="22"/>
          <w:szCs w:val="22"/>
          <w:u w:val="single"/>
        </w:rPr>
        <w:t>review</w:t>
      </w:r>
      <w:proofErr w:type="gramEnd"/>
      <w:r w:rsidR="00A51723" w:rsidRPr="0052328A">
        <w:rPr>
          <w:b/>
          <w:sz w:val="22"/>
          <w:szCs w:val="22"/>
          <w:u w:val="single"/>
        </w:rPr>
        <w:t xml:space="preserve"> </w:t>
      </w:r>
    </w:p>
    <w:p w:rsidR="00E73169" w:rsidRPr="0052328A" w:rsidRDefault="00E73169" w:rsidP="005F7DF2">
      <w:pPr>
        <w:rPr>
          <w:sz w:val="22"/>
          <w:szCs w:val="22"/>
        </w:rPr>
      </w:pPr>
      <w:r w:rsidRPr="0052328A">
        <w:rPr>
          <w:sz w:val="22"/>
          <w:szCs w:val="22"/>
        </w:rPr>
        <w:t>It is a review that can take place for the whole or part of the Borough to consider one or more of the following:</w:t>
      </w:r>
    </w:p>
    <w:p w:rsidR="00E73169" w:rsidRPr="0052328A" w:rsidRDefault="00E73169" w:rsidP="00E73169">
      <w:pPr>
        <w:numPr>
          <w:ilvl w:val="0"/>
          <w:numId w:val="1"/>
        </w:numPr>
        <w:rPr>
          <w:sz w:val="22"/>
          <w:szCs w:val="22"/>
        </w:rPr>
      </w:pPr>
      <w:r w:rsidRPr="0052328A">
        <w:rPr>
          <w:sz w:val="22"/>
          <w:szCs w:val="22"/>
        </w:rPr>
        <w:t xml:space="preserve">Creating, merging, altering or abolishing parishes; </w:t>
      </w:r>
    </w:p>
    <w:p w:rsidR="00E73169" w:rsidRPr="0052328A" w:rsidRDefault="00E73169" w:rsidP="00E73169">
      <w:pPr>
        <w:numPr>
          <w:ilvl w:val="0"/>
          <w:numId w:val="1"/>
        </w:numPr>
        <w:rPr>
          <w:sz w:val="22"/>
          <w:szCs w:val="22"/>
        </w:rPr>
      </w:pPr>
      <w:r w:rsidRPr="0052328A">
        <w:rPr>
          <w:sz w:val="22"/>
          <w:szCs w:val="22"/>
        </w:rPr>
        <w:t xml:space="preserve">The naming of parishes and the style of new parishes; </w:t>
      </w:r>
    </w:p>
    <w:p w:rsidR="00E73169" w:rsidRPr="0052328A" w:rsidRDefault="00E73169" w:rsidP="00E73169">
      <w:pPr>
        <w:numPr>
          <w:ilvl w:val="0"/>
          <w:numId w:val="1"/>
        </w:numPr>
        <w:rPr>
          <w:sz w:val="22"/>
          <w:szCs w:val="22"/>
        </w:rPr>
      </w:pPr>
      <w:r w:rsidRPr="0052328A">
        <w:rPr>
          <w:sz w:val="22"/>
          <w:szCs w:val="22"/>
        </w:rPr>
        <w:t xml:space="preserve">The electoral arrangements for parishes (the ordinary year of election; council size, the number of councillors to be elected to the council, and parish warding), and </w:t>
      </w:r>
    </w:p>
    <w:p w:rsidR="00E73169" w:rsidRPr="0052328A" w:rsidRDefault="00E73169" w:rsidP="00E73169">
      <w:pPr>
        <w:pStyle w:val="ListParagraph"/>
        <w:numPr>
          <w:ilvl w:val="0"/>
          <w:numId w:val="1"/>
        </w:numPr>
        <w:rPr>
          <w:rFonts w:cs="Arial"/>
          <w:sz w:val="22"/>
          <w:szCs w:val="22"/>
        </w:rPr>
      </w:pPr>
      <w:r w:rsidRPr="0052328A">
        <w:rPr>
          <w:rFonts w:cs="Arial"/>
          <w:sz w:val="22"/>
          <w:szCs w:val="22"/>
        </w:rPr>
        <w:t>Grouping parishes under a common parish council or de-grouping parishes</w:t>
      </w:r>
    </w:p>
    <w:p w:rsidR="00E73169" w:rsidRPr="0052328A" w:rsidRDefault="00E73169" w:rsidP="00E73169">
      <w:pPr>
        <w:rPr>
          <w:rFonts w:cs="Arial"/>
          <w:sz w:val="22"/>
          <w:szCs w:val="22"/>
        </w:rPr>
      </w:pPr>
    </w:p>
    <w:p w:rsidR="00E73169" w:rsidRPr="0052328A" w:rsidRDefault="00E73169" w:rsidP="00E73169">
      <w:pPr>
        <w:pStyle w:val="Default"/>
        <w:rPr>
          <w:sz w:val="22"/>
          <w:szCs w:val="22"/>
        </w:rPr>
      </w:pPr>
      <w:r w:rsidRPr="0052328A">
        <w:rPr>
          <w:sz w:val="22"/>
          <w:szCs w:val="22"/>
        </w:rPr>
        <w:t xml:space="preserve">The Council is required to ensure that community governance within the area under review will be: </w:t>
      </w:r>
    </w:p>
    <w:p w:rsidR="00E73169" w:rsidRPr="0052328A" w:rsidRDefault="00E73169" w:rsidP="00E73169">
      <w:pPr>
        <w:pStyle w:val="ListBullet"/>
        <w:numPr>
          <w:ilvl w:val="0"/>
          <w:numId w:val="2"/>
        </w:numPr>
        <w:rPr>
          <w:b w:val="0"/>
          <w:sz w:val="22"/>
          <w:szCs w:val="22"/>
        </w:rPr>
      </w:pPr>
      <w:r w:rsidRPr="0052328A">
        <w:rPr>
          <w:b w:val="0"/>
          <w:sz w:val="22"/>
          <w:szCs w:val="22"/>
        </w:rPr>
        <w:t xml:space="preserve">Reflective of the identities and interests of the community in that area; and </w:t>
      </w:r>
    </w:p>
    <w:p w:rsidR="00E73169" w:rsidRPr="0052328A" w:rsidRDefault="00DA1EC5" w:rsidP="00E73169">
      <w:pPr>
        <w:pStyle w:val="ListBullet"/>
        <w:numPr>
          <w:ilvl w:val="0"/>
          <w:numId w:val="2"/>
        </w:numPr>
        <w:rPr>
          <w:b w:val="0"/>
          <w:sz w:val="22"/>
          <w:szCs w:val="22"/>
        </w:rPr>
      </w:pPr>
      <w:r w:rsidRPr="0052328A">
        <w:rPr>
          <w:b w:val="0"/>
          <w:sz w:val="22"/>
          <w:szCs w:val="22"/>
        </w:rPr>
        <w:t>Is e</w:t>
      </w:r>
      <w:r w:rsidR="00E73169" w:rsidRPr="0052328A">
        <w:rPr>
          <w:b w:val="0"/>
          <w:sz w:val="22"/>
          <w:szCs w:val="22"/>
        </w:rPr>
        <w:t xml:space="preserve">ffective and convenient. </w:t>
      </w:r>
    </w:p>
    <w:p w:rsidR="00E73169" w:rsidRPr="0052328A" w:rsidRDefault="00E73169" w:rsidP="00E73169">
      <w:pPr>
        <w:pStyle w:val="Default"/>
        <w:rPr>
          <w:sz w:val="22"/>
          <w:szCs w:val="22"/>
        </w:rPr>
      </w:pPr>
    </w:p>
    <w:p w:rsidR="00E73169" w:rsidRPr="0052328A" w:rsidRDefault="00E73169" w:rsidP="00E73169">
      <w:pPr>
        <w:pStyle w:val="Default"/>
        <w:rPr>
          <w:sz w:val="22"/>
          <w:szCs w:val="22"/>
        </w:rPr>
      </w:pPr>
      <w:r w:rsidRPr="0052328A">
        <w:rPr>
          <w:sz w:val="22"/>
          <w:szCs w:val="22"/>
        </w:rPr>
        <w:t xml:space="preserve">In doing so the community governance review is required to take into account: </w:t>
      </w:r>
    </w:p>
    <w:p w:rsidR="00E73169" w:rsidRPr="0052328A" w:rsidRDefault="00E73169" w:rsidP="00E73169">
      <w:pPr>
        <w:pStyle w:val="ListBullet"/>
        <w:numPr>
          <w:ilvl w:val="0"/>
          <w:numId w:val="3"/>
        </w:numPr>
        <w:rPr>
          <w:b w:val="0"/>
          <w:sz w:val="22"/>
          <w:szCs w:val="22"/>
        </w:rPr>
      </w:pPr>
      <w:r w:rsidRPr="0052328A">
        <w:rPr>
          <w:b w:val="0"/>
          <w:sz w:val="22"/>
          <w:szCs w:val="22"/>
        </w:rPr>
        <w:t xml:space="preserve">The impact of community governance arrangements on community cohesion; and </w:t>
      </w:r>
    </w:p>
    <w:p w:rsidR="00E73169" w:rsidRPr="0052328A" w:rsidRDefault="00E73169" w:rsidP="00E73169">
      <w:pPr>
        <w:pStyle w:val="ListBullet"/>
        <w:numPr>
          <w:ilvl w:val="0"/>
          <w:numId w:val="3"/>
        </w:numPr>
        <w:rPr>
          <w:rFonts w:cs="Arial"/>
          <w:sz w:val="22"/>
          <w:szCs w:val="22"/>
        </w:rPr>
      </w:pPr>
      <w:r w:rsidRPr="0052328A">
        <w:rPr>
          <w:b w:val="0"/>
          <w:sz w:val="22"/>
          <w:szCs w:val="22"/>
        </w:rPr>
        <w:t xml:space="preserve">The size, population and boundaries of a local community or parish. </w:t>
      </w:r>
    </w:p>
    <w:p w:rsidR="00226DB3" w:rsidRPr="0052328A" w:rsidRDefault="00226DB3" w:rsidP="00E73169">
      <w:pPr>
        <w:rPr>
          <w:rFonts w:cs="Arial"/>
          <w:sz w:val="22"/>
          <w:szCs w:val="22"/>
        </w:rPr>
      </w:pPr>
    </w:p>
    <w:p w:rsidR="00E73169" w:rsidRPr="0052328A" w:rsidRDefault="00E73169" w:rsidP="00E73169">
      <w:pPr>
        <w:rPr>
          <w:rFonts w:cs="Arial"/>
          <w:b/>
          <w:sz w:val="22"/>
          <w:szCs w:val="22"/>
          <w:u w:val="single"/>
        </w:rPr>
      </w:pPr>
      <w:r w:rsidRPr="0052328A">
        <w:rPr>
          <w:rFonts w:cs="Arial"/>
          <w:b/>
          <w:sz w:val="22"/>
          <w:szCs w:val="22"/>
          <w:u w:val="single"/>
        </w:rPr>
        <w:t>Why undertake this Community Governance review</w:t>
      </w:r>
    </w:p>
    <w:p w:rsidR="00E73169" w:rsidRPr="0052328A" w:rsidRDefault="00FD19E1" w:rsidP="00E73169">
      <w:pPr>
        <w:rPr>
          <w:rFonts w:cs="Arial"/>
          <w:sz w:val="22"/>
          <w:szCs w:val="22"/>
        </w:rPr>
      </w:pPr>
      <w:r w:rsidRPr="0052328A">
        <w:rPr>
          <w:rFonts w:cs="Arial"/>
          <w:sz w:val="22"/>
          <w:szCs w:val="22"/>
        </w:rPr>
        <w:t>This review is taking place partly as a result of the electoral ward review undertaken in 2011 and also the current situation of some of the parish arrangements.</w:t>
      </w:r>
    </w:p>
    <w:p w:rsidR="00FD19E1" w:rsidRPr="0052328A" w:rsidRDefault="00FD19E1" w:rsidP="00E73169">
      <w:pPr>
        <w:rPr>
          <w:rFonts w:cs="Arial"/>
          <w:sz w:val="22"/>
          <w:szCs w:val="22"/>
        </w:rPr>
      </w:pPr>
    </w:p>
    <w:p w:rsidR="00EE02FA" w:rsidRPr="0052328A" w:rsidRDefault="00FD19E1" w:rsidP="00FD19E1">
      <w:pPr>
        <w:rPr>
          <w:sz w:val="22"/>
          <w:szCs w:val="22"/>
        </w:rPr>
      </w:pPr>
      <w:r w:rsidRPr="0052328A">
        <w:rPr>
          <w:sz w:val="22"/>
          <w:szCs w:val="22"/>
        </w:rPr>
        <w:t xml:space="preserve">The Council believes that parish councils play an important role in terms of community empowerment at the local level and wants to ensure that parish governance within the Borough continues to be robust, representative and enabled to meet new challenges.  </w:t>
      </w:r>
    </w:p>
    <w:p w:rsidR="00EE02FA" w:rsidRPr="0052328A" w:rsidRDefault="00EE02FA" w:rsidP="00FD19E1">
      <w:pPr>
        <w:rPr>
          <w:sz w:val="22"/>
          <w:szCs w:val="22"/>
        </w:rPr>
      </w:pPr>
    </w:p>
    <w:p w:rsidR="00EE02FA" w:rsidRPr="0052328A" w:rsidRDefault="00FD19E1" w:rsidP="00FD19E1">
      <w:pPr>
        <w:rPr>
          <w:sz w:val="22"/>
          <w:szCs w:val="22"/>
        </w:rPr>
      </w:pPr>
      <w:r w:rsidRPr="0052328A">
        <w:rPr>
          <w:sz w:val="22"/>
          <w:szCs w:val="22"/>
        </w:rPr>
        <w:t>Furthermore, it wants to ensure that there is clarity and transparency to the areas that parish councils represent and that the electoral arrangements of parishes – the warding arrangements and the allocations of councillors – are appropriate, equitable and readily understood by their electorate.</w:t>
      </w:r>
      <w:r w:rsidR="00867BE1" w:rsidRPr="0052328A">
        <w:rPr>
          <w:sz w:val="22"/>
          <w:szCs w:val="22"/>
        </w:rPr>
        <w:t xml:space="preserve"> </w:t>
      </w:r>
    </w:p>
    <w:p w:rsidR="00EE02FA" w:rsidRPr="0052328A" w:rsidRDefault="00EE02FA" w:rsidP="00FD19E1">
      <w:pPr>
        <w:rPr>
          <w:sz w:val="22"/>
          <w:szCs w:val="22"/>
        </w:rPr>
      </w:pPr>
    </w:p>
    <w:p w:rsidR="00FD19E1" w:rsidRPr="0052328A" w:rsidRDefault="00867BE1" w:rsidP="00FD19E1">
      <w:pPr>
        <w:rPr>
          <w:sz w:val="22"/>
          <w:szCs w:val="22"/>
        </w:rPr>
      </w:pPr>
      <w:r w:rsidRPr="0052328A">
        <w:rPr>
          <w:sz w:val="22"/>
          <w:szCs w:val="22"/>
        </w:rPr>
        <w:t>To that end, the Council is also reviewing unparished areas of the Borough to obtain views as to enabling community empowerment at local level which could include the Council devolving power and responsibility to neighbourhood level and extending localism to those parts of the town that do not presently benefit from their own local councils.</w:t>
      </w:r>
    </w:p>
    <w:p w:rsidR="00A51723" w:rsidRPr="0052328A" w:rsidRDefault="00A51723" w:rsidP="00FD19E1">
      <w:pPr>
        <w:rPr>
          <w:sz w:val="22"/>
          <w:szCs w:val="22"/>
        </w:rPr>
      </w:pPr>
    </w:p>
    <w:p w:rsidR="00A51723" w:rsidRPr="0052328A" w:rsidRDefault="00A51723" w:rsidP="00FD19E1">
      <w:pPr>
        <w:rPr>
          <w:b/>
          <w:sz w:val="22"/>
          <w:szCs w:val="22"/>
          <w:u w:val="single"/>
        </w:rPr>
      </w:pPr>
      <w:r w:rsidRPr="0052328A">
        <w:rPr>
          <w:b/>
          <w:sz w:val="22"/>
          <w:szCs w:val="22"/>
          <w:u w:val="single"/>
        </w:rPr>
        <w:t>Areas to be reviewed</w:t>
      </w:r>
      <w:r w:rsidR="003F4717" w:rsidRPr="0052328A">
        <w:rPr>
          <w:b/>
          <w:sz w:val="22"/>
          <w:szCs w:val="22"/>
          <w:u w:val="single"/>
        </w:rPr>
        <w:t xml:space="preserve"> </w:t>
      </w:r>
    </w:p>
    <w:p w:rsidR="00FD19E1" w:rsidRPr="0052328A" w:rsidRDefault="00FD19E1" w:rsidP="00FD19E1">
      <w:pPr>
        <w:rPr>
          <w:sz w:val="22"/>
          <w:szCs w:val="22"/>
        </w:rPr>
      </w:pPr>
    </w:p>
    <w:tbl>
      <w:tblPr>
        <w:tblStyle w:val="TableGrid"/>
        <w:tblW w:w="0" w:type="auto"/>
        <w:tblLook w:val="04A0"/>
      </w:tblPr>
      <w:tblGrid>
        <w:gridCol w:w="4361"/>
        <w:gridCol w:w="3402"/>
      </w:tblGrid>
      <w:tr w:rsidR="00DA1EC5" w:rsidRPr="0052328A" w:rsidTr="00DA1EC5">
        <w:tc>
          <w:tcPr>
            <w:tcW w:w="4361" w:type="dxa"/>
          </w:tcPr>
          <w:p w:rsidR="00DA1EC5" w:rsidRPr="0052328A" w:rsidRDefault="00DA1EC5" w:rsidP="00FD19E1">
            <w:pPr>
              <w:rPr>
                <w:sz w:val="22"/>
                <w:szCs w:val="22"/>
              </w:rPr>
            </w:pPr>
            <w:r w:rsidRPr="0052328A">
              <w:rPr>
                <w:sz w:val="22"/>
                <w:szCs w:val="22"/>
              </w:rPr>
              <w:t>Bishopstone</w:t>
            </w:r>
          </w:p>
        </w:tc>
        <w:tc>
          <w:tcPr>
            <w:tcW w:w="3402" w:type="dxa"/>
          </w:tcPr>
          <w:p w:rsidR="00DA1EC5" w:rsidRPr="0052328A" w:rsidRDefault="00DA1EC5" w:rsidP="00FD19E1">
            <w:pPr>
              <w:rPr>
                <w:sz w:val="22"/>
                <w:szCs w:val="22"/>
              </w:rPr>
            </w:pPr>
            <w:r w:rsidRPr="0052328A">
              <w:rPr>
                <w:sz w:val="22"/>
                <w:szCs w:val="22"/>
              </w:rPr>
              <w:t>Inglesham</w:t>
            </w:r>
          </w:p>
        </w:tc>
      </w:tr>
      <w:tr w:rsidR="00DA1EC5" w:rsidRPr="0052328A" w:rsidTr="00DA1EC5">
        <w:tc>
          <w:tcPr>
            <w:tcW w:w="4361" w:type="dxa"/>
          </w:tcPr>
          <w:p w:rsidR="00DA1EC5" w:rsidRPr="0052328A" w:rsidRDefault="00DA1EC5" w:rsidP="00FD19E1">
            <w:pPr>
              <w:rPr>
                <w:sz w:val="22"/>
                <w:szCs w:val="22"/>
              </w:rPr>
            </w:pPr>
            <w:r w:rsidRPr="0052328A">
              <w:rPr>
                <w:sz w:val="22"/>
                <w:szCs w:val="22"/>
              </w:rPr>
              <w:t>Blunsdon St Andrew</w:t>
            </w:r>
          </w:p>
        </w:tc>
        <w:tc>
          <w:tcPr>
            <w:tcW w:w="3402" w:type="dxa"/>
          </w:tcPr>
          <w:p w:rsidR="00DA1EC5" w:rsidRPr="0052328A" w:rsidRDefault="00DA1EC5" w:rsidP="00DA1EC5">
            <w:pPr>
              <w:rPr>
                <w:sz w:val="22"/>
                <w:szCs w:val="22"/>
              </w:rPr>
            </w:pPr>
            <w:r w:rsidRPr="0052328A">
              <w:rPr>
                <w:sz w:val="22"/>
                <w:szCs w:val="22"/>
              </w:rPr>
              <w:t>Liddington</w:t>
            </w:r>
          </w:p>
        </w:tc>
      </w:tr>
      <w:tr w:rsidR="00DA1EC5" w:rsidRPr="0052328A" w:rsidTr="00DA1EC5">
        <w:tc>
          <w:tcPr>
            <w:tcW w:w="4361" w:type="dxa"/>
          </w:tcPr>
          <w:p w:rsidR="00DA1EC5" w:rsidRPr="0052328A" w:rsidRDefault="00DA1EC5" w:rsidP="00FD19E1">
            <w:pPr>
              <w:rPr>
                <w:sz w:val="22"/>
                <w:szCs w:val="22"/>
              </w:rPr>
            </w:pPr>
            <w:r w:rsidRPr="0052328A">
              <w:rPr>
                <w:sz w:val="22"/>
                <w:szCs w:val="22"/>
              </w:rPr>
              <w:t>Castle Eaton</w:t>
            </w:r>
          </w:p>
        </w:tc>
        <w:tc>
          <w:tcPr>
            <w:tcW w:w="3402" w:type="dxa"/>
          </w:tcPr>
          <w:p w:rsidR="00DA1EC5" w:rsidRPr="0052328A" w:rsidRDefault="002803FB" w:rsidP="00FD19E1">
            <w:pPr>
              <w:rPr>
                <w:sz w:val="22"/>
                <w:szCs w:val="22"/>
              </w:rPr>
            </w:pPr>
            <w:r w:rsidRPr="0052328A">
              <w:rPr>
                <w:sz w:val="22"/>
                <w:szCs w:val="22"/>
              </w:rPr>
              <w:t>Nythe</w:t>
            </w:r>
          </w:p>
        </w:tc>
      </w:tr>
      <w:tr w:rsidR="002803FB" w:rsidRPr="0052328A" w:rsidTr="00DA1EC5">
        <w:tc>
          <w:tcPr>
            <w:tcW w:w="4361" w:type="dxa"/>
          </w:tcPr>
          <w:p w:rsidR="002803FB" w:rsidRPr="0052328A" w:rsidRDefault="002803FB" w:rsidP="00FD19E1">
            <w:pPr>
              <w:rPr>
                <w:sz w:val="22"/>
                <w:szCs w:val="22"/>
              </w:rPr>
            </w:pPr>
            <w:r w:rsidRPr="0052328A">
              <w:rPr>
                <w:sz w:val="22"/>
                <w:szCs w:val="22"/>
              </w:rPr>
              <w:t>Chisledon</w:t>
            </w:r>
          </w:p>
        </w:tc>
        <w:tc>
          <w:tcPr>
            <w:tcW w:w="3402" w:type="dxa"/>
          </w:tcPr>
          <w:p w:rsidR="002803FB" w:rsidRPr="0052328A" w:rsidRDefault="002803FB" w:rsidP="00FD64E5">
            <w:pPr>
              <w:rPr>
                <w:sz w:val="22"/>
                <w:szCs w:val="22"/>
              </w:rPr>
            </w:pPr>
            <w:r w:rsidRPr="0052328A">
              <w:rPr>
                <w:sz w:val="22"/>
                <w:szCs w:val="22"/>
              </w:rPr>
              <w:t>South Marston</w:t>
            </w:r>
          </w:p>
        </w:tc>
      </w:tr>
      <w:tr w:rsidR="002803FB" w:rsidRPr="0052328A" w:rsidTr="00DA1EC5">
        <w:tc>
          <w:tcPr>
            <w:tcW w:w="4361" w:type="dxa"/>
          </w:tcPr>
          <w:p w:rsidR="002803FB" w:rsidRPr="0052328A" w:rsidRDefault="002803FB" w:rsidP="00FD19E1">
            <w:pPr>
              <w:rPr>
                <w:sz w:val="22"/>
                <w:szCs w:val="22"/>
              </w:rPr>
            </w:pPr>
            <w:r w:rsidRPr="0052328A">
              <w:rPr>
                <w:sz w:val="22"/>
                <w:szCs w:val="22"/>
              </w:rPr>
              <w:t>Covingham</w:t>
            </w:r>
          </w:p>
        </w:tc>
        <w:tc>
          <w:tcPr>
            <w:tcW w:w="3402" w:type="dxa"/>
          </w:tcPr>
          <w:p w:rsidR="002803FB" w:rsidRPr="0052328A" w:rsidRDefault="002803FB" w:rsidP="00FD64E5">
            <w:pPr>
              <w:rPr>
                <w:sz w:val="22"/>
                <w:szCs w:val="22"/>
              </w:rPr>
            </w:pPr>
            <w:r w:rsidRPr="0052328A">
              <w:rPr>
                <w:sz w:val="22"/>
                <w:szCs w:val="22"/>
              </w:rPr>
              <w:t>Stratton St Margaret</w:t>
            </w:r>
          </w:p>
        </w:tc>
      </w:tr>
      <w:tr w:rsidR="002803FB" w:rsidRPr="0052328A" w:rsidTr="00DA1EC5">
        <w:tc>
          <w:tcPr>
            <w:tcW w:w="4361" w:type="dxa"/>
          </w:tcPr>
          <w:p w:rsidR="002803FB" w:rsidRPr="0052328A" w:rsidRDefault="002803FB" w:rsidP="00FD19E1">
            <w:pPr>
              <w:rPr>
                <w:sz w:val="22"/>
                <w:szCs w:val="22"/>
              </w:rPr>
            </w:pPr>
            <w:r w:rsidRPr="0052328A">
              <w:rPr>
                <w:sz w:val="22"/>
                <w:szCs w:val="22"/>
              </w:rPr>
              <w:t>Hannington</w:t>
            </w:r>
          </w:p>
        </w:tc>
        <w:tc>
          <w:tcPr>
            <w:tcW w:w="3402" w:type="dxa"/>
          </w:tcPr>
          <w:p w:rsidR="002803FB" w:rsidRPr="0052328A" w:rsidRDefault="002803FB" w:rsidP="00FD64E5">
            <w:pPr>
              <w:rPr>
                <w:sz w:val="22"/>
                <w:szCs w:val="22"/>
              </w:rPr>
            </w:pPr>
            <w:r w:rsidRPr="0052328A">
              <w:rPr>
                <w:sz w:val="22"/>
                <w:szCs w:val="22"/>
              </w:rPr>
              <w:t>Stanton Fitzwarren</w:t>
            </w:r>
          </w:p>
        </w:tc>
      </w:tr>
      <w:tr w:rsidR="002803FB" w:rsidRPr="0052328A" w:rsidTr="00DA1EC5">
        <w:tc>
          <w:tcPr>
            <w:tcW w:w="4361" w:type="dxa"/>
          </w:tcPr>
          <w:p w:rsidR="002803FB" w:rsidRPr="0052328A" w:rsidRDefault="002803FB" w:rsidP="00FD19E1">
            <w:pPr>
              <w:rPr>
                <w:sz w:val="22"/>
                <w:szCs w:val="22"/>
              </w:rPr>
            </w:pPr>
            <w:r w:rsidRPr="0052328A">
              <w:rPr>
                <w:sz w:val="22"/>
                <w:szCs w:val="22"/>
              </w:rPr>
              <w:t>Haydon Wick</w:t>
            </w:r>
          </w:p>
        </w:tc>
        <w:tc>
          <w:tcPr>
            <w:tcW w:w="3402" w:type="dxa"/>
          </w:tcPr>
          <w:p w:rsidR="002803FB" w:rsidRPr="0052328A" w:rsidRDefault="002803FB" w:rsidP="00FD64E5">
            <w:pPr>
              <w:rPr>
                <w:sz w:val="22"/>
                <w:szCs w:val="22"/>
              </w:rPr>
            </w:pPr>
            <w:r w:rsidRPr="0052328A">
              <w:rPr>
                <w:sz w:val="22"/>
                <w:szCs w:val="22"/>
              </w:rPr>
              <w:t>Wanborough</w:t>
            </w:r>
          </w:p>
        </w:tc>
      </w:tr>
      <w:tr w:rsidR="002803FB" w:rsidRPr="0052328A" w:rsidTr="00DA1EC5">
        <w:tc>
          <w:tcPr>
            <w:tcW w:w="4361" w:type="dxa"/>
          </w:tcPr>
          <w:p w:rsidR="002803FB" w:rsidRPr="0052328A" w:rsidRDefault="002803FB" w:rsidP="00FD19E1">
            <w:pPr>
              <w:rPr>
                <w:sz w:val="22"/>
                <w:szCs w:val="22"/>
              </w:rPr>
            </w:pPr>
            <w:r w:rsidRPr="0052328A">
              <w:rPr>
                <w:sz w:val="22"/>
                <w:szCs w:val="22"/>
              </w:rPr>
              <w:t>Highworth</w:t>
            </w:r>
          </w:p>
        </w:tc>
        <w:tc>
          <w:tcPr>
            <w:tcW w:w="3402" w:type="dxa"/>
          </w:tcPr>
          <w:p w:rsidR="002803FB" w:rsidRPr="0052328A" w:rsidRDefault="002803FB" w:rsidP="00FD64E5">
            <w:pPr>
              <w:rPr>
                <w:sz w:val="22"/>
                <w:szCs w:val="22"/>
              </w:rPr>
            </w:pPr>
            <w:r w:rsidRPr="0052328A">
              <w:rPr>
                <w:sz w:val="22"/>
                <w:szCs w:val="22"/>
              </w:rPr>
              <w:t>Wroughton</w:t>
            </w:r>
          </w:p>
        </w:tc>
      </w:tr>
      <w:tr w:rsidR="002803FB" w:rsidRPr="0052328A" w:rsidTr="00DA1EC5">
        <w:tc>
          <w:tcPr>
            <w:tcW w:w="4361" w:type="dxa"/>
          </w:tcPr>
          <w:p w:rsidR="002803FB" w:rsidRPr="0052328A" w:rsidRDefault="002803FB" w:rsidP="00FD19E1">
            <w:pPr>
              <w:rPr>
                <w:sz w:val="22"/>
                <w:szCs w:val="22"/>
              </w:rPr>
            </w:pPr>
          </w:p>
        </w:tc>
        <w:tc>
          <w:tcPr>
            <w:tcW w:w="3402" w:type="dxa"/>
          </w:tcPr>
          <w:p w:rsidR="002803FB" w:rsidRPr="0052328A" w:rsidRDefault="002803FB" w:rsidP="00DA1EC5">
            <w:pPr>
              <w:rPr>
                <w:sz w:val="22"/>
                <w:szCs w:val="22"/>
              </w:rPr>
            </w:pPr>
          </w:p>
        </w:tc>
      </w:tr>
      <w:tr w:rsidR="002803FB" w:rsidRPr="0052328A" w:rsidTr="007257E8">
        <w:tc>
          <w:tcPr>
            <w:tcW w:w="7763" w:type="dxa"/>
            <w:gridSpan w:val="2"/>
          </w:tcPr>
          <w:p w:rsidR="002803FB" w:rsidRPr="0052328A" w:rsidRDefault="002803FB" w:rsidP="00DA1EC5">
            <w:pPr>
              <w:rPr>
                <w:sz w:val="22"/>
                <w:szCs w:val="22"/>
              </w:rPr>
            </w:pPr>
            <w:r w:rsidRPr="0052328A">
              <w:rPr>
                <w:sz w:val="22"/>
                <w:szCs w:val="22"/>
              </w:rPr>
              <w:t>All unparished areas of the Borough</w:t>
            </w:r>
          </w:p>
        </w:tc>
      </w:tr>
    </w:tbl>
    <w:p w:rsidR="00A51723" w:rsidRPr="0052328A" w:rsidRDefault="00A51723" w:rsidP="00FD19E1">
      <w:pPr>
        <w:rPr>
          <w:sz w:val="22"/>
          <w:szCs w:val="22"/>
        </w:rPr>
      </w:pPr>
    </w:p>
    <w:p w:rsidR="00A51723" w:rsidRPr="0052328A" w:rsidRDefault="00A51723" w:rsidP="00FD19E1">
      <w:pPr>
        <w:rPr>
          <w:sz w:val="22"/>
          <w:szCs w:val="22"/>
        </w:rPr>
      </w:pPr>
    </w:p>
    <w:p w:rsidR="00FD19E1" w:rsidRPr="0052328A" w:rsidRDefault="00FD19E1" w:rsidP="00FD19E1">
      <w:pPr>
        <w:rPr>
          <w:b/>
          <w:sz w:val="22"/>
          <w:szCs w:val="22"/>
          <w:u w:val="single"/>
        </w:rPr>
      </w:pPr>
      <w:r w:rsidRPr="0052328A">
        <w:rPr>
          <w:b/>
          <w:sz w:val="22"/>
          <w:szCs w:val="22"/>
          <w:u w:val="single"/>
        </w:rPr>
        <w:t>Who will undertake the Review</w:t>
      </w:r>
    </w:p>
    <w:p w:rsidR="00FD19E1" w:rsidRPr="0052328A" w:rsidRDefault="00FD19E1" w:rsidP="00FD19E1">
      <w:pPr>
        <w:rPr>
          <w:sz w:val="22"/>
          <w:szCs w:val="22"/>
        </w:rPr>
      </w:pPr>
      <w:r w:rsidRPr="0052328A">
        <w:rPr>
          <w:sz w:val="22"/>
          <w:szCs w:val="22"/>
        </w:rPr>
        <w:t xml:space="preserve">The Borough Council is responsible for conducting a review within its electoral area.  The </w:t>
      </w:r>
      <w:r w:rsidR="00BC2759" w:rsidRPr="0052328A">
        <w:rPr>
          <w:sz w:val="22"/>
          <w:szCs w:val="22"/>
        </w:rPr>
        <w:t>Director of Law and Democratic Services, in consultation with the Corporate Governance Review W</w:t>
      </w:r>
      <w:r w:rsidRPr="0052328A">
        <w:rPr>
          <w:sz w:val="22"/>
          <w:szCs w:val="22"/>
        </w:rPr>
        <w:t xml:space="preserve">orking </w:t>
      </w:r>
      <w:r w:rsidR="00BC2759" w:rsidRPr="0052328A">
        <w:rPr>
          <w:sz w:val="22"/>
          <w:szCs w:val="22"/>
        </w:rPr>
        <w:t>G</w:t>
      </w:r>
      <w:r w:rsidRPr="0052328A">
        <w:rPr>
          <w:sz w:val="22"/>
          <w:szCs w:val="22"/>
        </w:rPr>
        <w:t>roup</w:t>
      </w:r>
      <w:r w:rsidR="00BC2759" w:rsidRPr="0052328A">
        <w:rPr>
          <w:sz w:val="22"/>
          <w:szCs w:val="22"/>
        </w:rPr>
        <w:t>,</w:t>
      </w:r>
      <w:r w:rsidRPr="0052328A">
        <w:rPr>
          <w:sz w:val="22"/>
          <w:szCs w:val="22"/>
        </w:rPr>
        <w:t xml:space="preserve"> will be responsible for making both draft and final recommendations during the process.</w:t>
      </w:r>
      <w:r w:rsidR="00777E56" w:rsidRPr="0052328A">
        <w:rPr>
          <w:sz w:val="22"/>
          <w:szCs w:val="22"/>
        </w:rPr>
        <w:t xml:space="preserve"> The Council will be required to approve the final recommendations prior to the Community Governance Order being made.</w:t>
      </w:r>
    </w:p>
    <w:p w:rsidR="00777E56" w:rsidRPr="0052328A" w:rsidRDefault="00777E56" w:rsidP="00FD19E1">
      <w:pPr>
        <w:rPr>
          <w:sz w:val="22"/>
          <w:szCs w:val="22"/>
        </w:rPr>
      </w:pPr>
    </w:p>
    <w:p w:rsidR="00777E56" w:rsidRPr="0052328A" w:rsidRDefault="00777E56" w:rsidP="00FD19E1">
      <w:pPr>
        <w:rPr>
          <w:sz w:val="22"/>
          <w:szCs w:val="22"/>
        </w:rPr>
      </w:pPr>
      <w:r w:rsidRPr="0052328A">
        <w:rPr>
          <w:sz w:val="22"/>
          <w:szCs w:val="22"/>
        </w:rPr>
        <w:t>A full consultation process will form part of the Review to take full account of the views of local people</w:t>
      </w:r>
      <w:r w:rsidR="004D04F8" w:rsidRPr="0052328A">
        <w:rPr>
          <w:sz w:val="22"/>
          <w:szCs w:val="22"/>
        </w:rPr>
        <w:t xml:space="preserve">.  </w:t>
      </w:r>
    </w:p>
    <w:p w:rsidR="00226DB3" w:rsidRPr="0052328A" w:rsidRDefault="00226DB3" w:rsidP="00FD19E1">
      <w:pPr>
        <w:rPr>
          <w:sz w:val="22"/>
          <w:szCs w:val="22"/>
        </w:rPr>
      </w:pPr>
    </w:p>
    <w:p w:rsidR="004D04F8" w:rsidRPr="0052328A" w:rsidRDefault="002803FB" w:rsidP="00871355">
      <w:pPr>
        <w:jc w:val="center"/>
        <w:rPr>
          <w:b/>
          <w:i/>
          <w:sz w:val="22"/>
          <w:szCs w:val="22"/>
          <w:u w:val="single"/>
        </w:rPr>
      </w:pPr>
      <w:r w:rsidRPr="0052328A">
        <w:rPr>
          <w:b/>
          <w:sz w:val="22"/>
          <w:szCs w:val="22"/>
          <w:u w:val="single"/>
        </w:rPr>
        <w:t xml:space="preserve">Indicative </w:t>
      </w:r>
      <w:r w:rsidR="004D04F8" w:rsidRPr="0052328A">
        <w:rPr>
          <w:b/>
          <w:sz w:val="22"/>
          <w:szCs w:val="22"/>
          <w:u w:val="single"/>
        </w:rPr>
        <w:t xml:space="preserve">Timetable for the </w:t>
      </w:r>
      <w:r w:rsidR="00871355" w:rsidRPr="0052328A">
        <w:rPr>
          <w:b/>
          <w:sz w:val="22"/>
          <w:szCs w:val="22"/>
          <w:u w:val="single"/>
        </w:rPr>
        <w:t>Community Governa</w:t>
      </w:r>
      <w:r w:rsidR="00173C94" w:rsidRPr="0052328A">
        <w:rPr>
          <w:b/>
          <w:sz w:val="22"/>
          <w:szCs w:val="22"/>
          <w:u w:val="single"/>
        </w:rPr>
        <w:t>n</w:t>
      </w:r>
      <w:r w:rsidR="00871355" w:rsidRPr="0052328A">
        <w:rPr>
          <w:b/>
          <w:sz w:val="22"/>
          <w:szCs w:val="22"/>
          <w:u w:val="single"/>
        </w:rPr>
        <w:t xml:space="preserve">ce Review </w:t>
      </w:r>
    </w:p>
    <w:p w:rsidR="00C57CC5" w:rsidRPr="0052328A" w:rsidRDefault="00C57CC5" w:rsidP="00FD19E1">
      <w:pPr>
        <w:rPr>
          <w:b/>
          <w:sz w:val="22"/>
          <w:szCs w:val="22"/>
          <w:u w:val="single"/>
        </w:rPr>
      </w:pPr>
    </w:p>
    <w:p w:rsidR="00C57CC5" w:rsidRPr="0052328A" w:rsidRDefault="00C57CC5" w:rsidP="00FD19E1">
      <w:pPr>
        <w:rPr>
          <w:b/>
          <w:sz w:val="22"/>
          <w:szCs w:val="22"/>
          <w:u w:val="single"/>
        </w:rPr>
      </w:pPr>
    </w:p>
    <w:tbl>
      <w:tblPr>
        <w:tblStyle w:val="TableGrid"/>
        <w:tblW w:w="0" w:type="auto"/>
        <w:tblLook w:val="04A0"/>
      </w:tblPr>
      <w:tblGrid>
        <w:gridCol w:w="2840"/>
        <w:gridCol w:w="2841"/>
        <w:gridCol w:w="2841"/>
      </w:tblGrid>
      <w:tr w:rsidR="004D04F8" w:rsidRPr="0052328A" w:rsidTr="004D04F8">
        <w:tc>
          <w:tcPr>
            <w:tcW w:w="2840" w:type="dxa"/>
          </w:tcPr>
          <w:p w:rsidR="004D04F8" w:rsidRPr="0052328A" w:rsidRDefault="004D04F8" w:rsidP="00FD19E1">
            <w:pPr>
              <w:rPr>
                <w:b/>
                <w:sz w:val="22"/>
                <w:szCs w:val="22"/>
              </w:rPr>
            </w:pPr>
            <w:r w:rsidRPr="0052328A">
              <w:rPr>
                <w:b/>
                <w:sz w:val="22"/>
                <w:szCs w:val="22"/>
              </w:rPr>
              <w:t>Action</w:t>
            </w:r>
          </w:p>
        </w:tc>
        <w:tc>
          <w:tcPr>
            <w:tcW w:w="2841" w:type="dxa"/>
          </w:tcPr>
          <w:p w:rsidR="004D04F8" w:rsidRPr="0052328A" w:rsidRDefault="004D04F8" w:rsidP="00FD19E1">
            <w:pPr>
              <w:rPr>
                <w:b/>
                <w:sz w:val="22"/>
                <w:szCs w:val="22"/>
              </w:rPr>
            </w:pPr>
            <w:r w:rsidRPr="0052328A">
              <w:rPr>
                <w:b/>
                <w:sz w:val="22"/>
                <w:szCs w:val="22"/>
              </w:rPr>
              <w:t>Timeline</w:t>
            </w:r>
          </w:p>
        </w:tc>
        <w:tc>
          <w:tcPr>
            <w:tcW w:w="2841" w:type="dxa"/>
          </w:tcPr>
          <w:p w:rsidR="004D04F8" w:rsidRPr="0052328A" w:rsidRDefault="004D04F8" w:rsidP="00FD19E1">
            <w:pPr>
              <w:rPr>
                <w:b/>
                <w:sz w:val="22"/>
                <w:szCs w:val="22"/>
              </w:rPr>
            </w:pPr>
            <w:r w:rsidRPr="0052328A">
              <w:rPr>
                <w:b/>
                <w:sz w:val="22"/>
                <w:szCs w:val="22"/>
              </w:rPr>
              <w:t>Outline of Action</w:t>
            </w:r>
          </w:p>
        </w:tc>
      </w:tr>
      <w:tr w:rsidR="003E3423" w:rsidRPr="0052328A" w:rsidTr="004D04F8">
        <w:tc>
          <w:tcPr>
            <w:tcW w:w="2840" w:type="dxa"/>
          </w:tcPr>
          <w:p w:rsidR="003E3423" w:rsidRPr="0052328A" w:rsidRDefault="005A2157" w:rsidP="00FD19E1">
            <w:pPr>
              <w:rPr>
                <w:sz w:val="22"/>
                <w:szCs w:val="22"/>
                <w:highlight w:val="yellow"/>
              </w:rPr>
            </w:pPr>
            <w:r w:rsidRPr="0052328A">
              <w:rPr>
                <w:sz w:val="22"/>
                <w:szCs w:val="22"/>
              </w:rPr>
              <w:t xml:space="preserve">Report to Cabinet / </w:t>
            </w:r>
            <w:r w:rsidR="00CA6A01" w:rsidRPr="0052328A">
              <w:rPr>
                <w:sz w:val="22"/>
                <w:szCs w:val="22"/>
              </w:rPr>
              <w:t>Council</w:t>
            </w:r>
          </w:p>
        </w:tc>
        <w:tc>
          <w:tcPr>
            <w:tcW w:w="2841" w:type="dxa"/>
          </w:tcPr>
          <w:p w:rsidR="003E3423" w:rsidRPr="0052328A" w:rsidRDefault="002803FB" w:rsidP="002803FB">
            <w:pPr>
              <w:rPr>
                <w:sz w:val="22"/>
                <w:szCs w:val="22"/>
                <w:highlight w:val="yellow"/>
              </w:rPr>
            </w:pPr>
            <w:r w:rsidRPr="0052328A">
              <w:rPr>
                <w:sz w:val="22"/>
                <w:szCs w:val="22"/>
              </w:rPr>
              <w:t xml:space="preserve">October </w:t>
            </w:r>
            <w:r w:rsidR="005A2157" w:rsidRPr="0052328A">
              <w:rPr>
                <w:sz w:val="22"/>
                <w:szCs w:val="22"/>
              </w:rPr>
              <w:t xml:space="preserve">/ </w:t>
            </w:r>
            <w:r w:rsidRPr="0052328A">
              <w:rPr>
                <w:sz w:val="22"/>
                <w:szCs w:val="22"/>
              </w:rPr>
              <w:t>November</w:t>
            </w:r>
            <w:r w:rsidR="00CA6A01" w:rsidRPr="0052328A">
              <w:rPr>
                <w:sz w:val="22"/>
                <w:szCs w:val="22"/>
              </w:rPr>
              <w:t xml:space="preserve"> 201</w:t>
            </w:r>
            <w:r w:rsidRPr="0052328A">
              <w:rPr>
                <w:sz w:val="22"/>
                <w:szCs w:val="22"/>
              </w:rPr>
              <w:t>5</w:t>
            </w:r>
          </w:p>
        </w:tc>
        <w:tc>
          <w:tcPr>
            <w:tcW w:w="2841" w:type="dxa"/>
          </w:tcPr>
          <w:p w:rsidR="003E3423" w:rsidRPr="0052328A" w:rsidRDefault="005A2157" w:rsidP="00731C66">
            <w:pPr>
              <w:rPr>
                <w:sz w:val="22"/>
                <w:szCs w:val="22"/>
                <w:highlight w:val="yellow"/>
              </w:rPr>
            </w:pPr>
            <w:r w:rsidRPr="0052328A">
              <w:rPr>
                <w:sz w:val="22"/>
                <w:szCs w:val="22"/>
              </w:rPr>
              <w:t>Timescale and</w:t>
            </w:r>
            <w:r w:rsidR="003E3423" w:rsidRPr="0052328A">
              <w:rPr>
                <w:sz w:val="22"/>
                <w:szCs w:val="22"/>
              </w:rPr>
              <w:t xml:space="preserve"> Terms of Reference</w:t>
            </w:r>
            <w:r w:rsidRPr="0052328A">
              <w:rPr>
                <w:sz w:val="22"/>
                <w:szCs w:val="22"/>
              </w:rPr>
              <w:t xml:space="preserve"> approved</w:t>
            </w:r>
          </w:p>
        </w:tc>
      </w:tr>
      <w:tr w:rsidR="004D04F8" w:rsidRPr="0052328A" w:rsidTr="004D04F8">
        <w:tc>
          <w:tcPr>
            <w:tcW w:w="2840" w:type="dxa"/>
          </w:tcPr>
          <w:p w:rsidR="00EE02FA" w:rsidRPr="0052328A" w:rsidRDefault="00EE02FA" w:rsidP="005A2157">
            <w:pPr>
              <w:rPr>
                <w:sz w:val="22"/>
                <w:szCs w:val="22"/>
              </w:rPr>
            </w:pPr>
            <w:r w:rsidRPr="0052328A">
              <w:rPr>
                <w:sz w:val="22"/>
                <w:szCs w:val="22"/>
              </w:rPr>
              <w:t>Publication of the Terms of Reference</w:t>
            </w:r>
          </w:p>
        </w:tc>
        <w:tc>
          <w:tcPr>
            <w:tcW w:w="2841" w:type="dxa"/>
          </w:tcPr>
          <w:p w:rsidR="004D04F8" w:rsidRPr="0052328A" w:rsidRDefault="006D4AA7" w:rsidP="006D4AA7">
            <w:pPr>
              <w:rPr>
                <w:sz w:val="22"/>
                <w:szCs w:val="22"/>
              </w:rPr>
            </w:pPr>
            <w:r w:rsidRPr="0052328A">
              <w:rPr>
                <w:sz w:val="22"/>
                <w:szCs w:val="22"/>
              </w:rPr>
              <w:t>5</w:t>
            </w:r>
            <w:r w:rsidR="00173C94" w:rsidRPr="0052328A">
              <w:rPr>
                <w:sz w:val="22"/>
                <w:szCs w:val="22"/>
                <w:vertAlign w:val="superscript"/>
              </w:rPr>
              <w:t>th</w:t>
            </w:r>
            <w:r w:rsidR="00173C94" w:rsidRPr="0052328A">
              <w:rPr>
                <w:sz w:val="22"/>
                <w:szCs w:val="22"/>
              </w:rPr>
              <w:t xml:space="preserve"> </w:t>
            </w:r>
            <w:r w:rsidR="002803FB" w:rsidRPr="0052328A">
              <w:rPr>
                <w:sz w:val="22"/>
                <w:szCs w:val="22"/>
              </w:rPr>
              <w:t xml:space="preserve">December </w:t>
            </w:r>
            <w:r w:rsidR="003F4717" w:rsidRPr="0052328A">
              <w:rPr>
                <w:sz w:val="22"/>
                <w:szCs w:val="22"/>
              </w:rPr>
              <w:t>201</w:t>
            </w:r>
            <w:r w:rsidR="002803FB" w:rsidRPr="0052328A">
              <w:rPr>
                <w:sz w:val="22"/>
                <w:szCs w:val="22"/>
              </w:rPr>
              <w:t>5</w:t>
            </w:r>
          </w:p>
        </w:tc>
        <w:tc>
          <w:tcPr>
            <w:tcW w:w="2841" w:type="dxa"/>
          </w:tcPr>
          <w:p w:rsidR="004D04F8" w:rsidRPr="0052328A" w:rsidRDefault="004D04F8" w:rsidP="005A2157">
            <w:pPr>
              <w:rPr>
                <w:sz w:val="22"/>
                <w:szCs w:val="22"/>
              </w:rPr>
            </w:pPr>
            <w:r w:rsidRPr="0052328A">
              <w:rPr>
                <w:sz w:val="22"/>
                <w:szCs w:val="22"/>
              </w:rPr>
              <w:t xml:space="preserve">Council </w:t>
            </w:r>
            <w:r w:rsidR="005A2157" w:rsidRPr="0052328A">
              <w:rPr>
                <w:sz w:val="22"/>
                <w:szCs w:val="22"/>
              </w:rPr>
              <w:t xml:space="preserve">publishes Notice of the Review and </w:t>
            </w:r>
            <w:r w:rsidRPr="0052328A">
              <w:rPr>
                <w:sz w:val="22"/>
                <w:szCs w:val="22"/>
              </w:rPr>
              <w:t>notifies stakeholders</w:t>
            </w:r>
          </w:p>
        </w:tc>
      </w:tr>
      <w:tr w:rsidR="00B619A6" w:rsidRPr="0052328A" w:rsidTr="004D04F8">
        <w:tc>
          <w:tcPr>
            <w:tcW w:w="2840" w:type="dxa"/>
          </w:tcPr>
          <w:p w:rsidR="00B619A6" w:rsidRPr="0052328A" w:rsidRDefault="00EE02FA" w:rsidP="00EE02FA">
            <w:pPr>
              <w:rPr>
                <w:sz w:val="22"/>
                <w:szCs w:val="22"/>
              </w:rPr>
            </w:pPr>
            <w:r w:rsidRPr="0052328A">
              <w:rPr>
                <w:sz w:val="22"/>
                <w:szCs w:val="22"/>
              </w:rPr>
              <w:t>First Stakeholder Meeting</w:t>
            </w:r>
            <w:r w:rsidR="00B619A6" w:rsidRPr="0052328A">
              <w:rPr>
                <w:sz w:val="22"/>
                <w:szCs w:val="22"/>
              </w:rPr>
              <w:t xml:space="preserve"> </w:t>
            </w:r>
          </w:p>
        </w:tc>
        <w:tc>
          <w:tcPr>
            <w:tcW w:w="2841" w:type="dxa"/>
          </w:tcPr>
          <w:p w:rsidR="00B619A6" w:rsidRPr="0052328A" w:rsidRDefault="00EE02FA" w:rsidP="00173C94">
            <w:pPr>
              <w:rPr>
                <w:sz w:val="22"/>
                <w:szCs w:val="22"/>
              </w:rPr>
            </w:pPr>
            <w:r w:rsidRPr="0052328A">
              <w:rPr>
                <w:sz w:val="22"/>
                <w:szCs w:val="22"/>
              </w:rPr>
              <w:t>16</w:t>
            </w:r>
            <w:r w:rsidR="00173C94" w:rsidRPr="0052328A">
              <w:rPr>
                <w:sz w:val="22"/>
                <w:szCs w:val="22"/>
                <w:vertAlign w:val="superscript"/>
              </w:rPr>
              <w:t>th</w:t>
            </w:r>
            <w:r w:rsidR="00173C94" w:rsidRPr="0052328A">
              <w:rPr>
                <w:sz w:val="22"/>
                <w:szCs w:val="22"/>
              </w:rPr>
              <w:t xml:space="preserve"> </w:t>
            </w:r>
            <w:r w:rsidR="002803FB" w:rsidRPr="0052328A">
              <w:rPr>
                <w:sz w:val="22"/>
                <w:szCs w:val="22"/>
              </w:rPr>
              <w:t xml:space="preserve">December </w:t>
            </w:r>
            <w:r w:rsidR="00B619A6" w:rsidRPr="0052328A">
              <w:rPr>
                <w:sz w:val="22"/>
                <w:szCs w:val="22"/>
              </w:rPr>
              <w:t>201</w:t>
            </w:r>
            <w:r w:rsidR="002803FB" w:rsidRPr="0052328A">
              <w:rPr>
                <w:sz w:val="22"/>
                <w:szCs w:val="22"/>
              </w:rPr>
              <w:t>5</w:t>
            </w:r>
          </w:p>
        </w:tc>
        <w:tc>
          <w:tcPr>
            <w:tcW w:w="2841" w:type="dxa"/>
          </w:tcPr>
          <w:p w:rsidR="00B619A6" w:rsidRPr="0052328A" w:rsidRDefault="00EE02FA" w:rsidP="00FD19E1">
            <w:pPr>
              <w:rPr>
                <w:sz w:val="22"/>
                <w:szCs w:val="22"/>
              </w:rPr>
            </w:pPr>
            <w:r w:rsidRPr="0052328A">
              <w:rPr>
                <w:sz w:val="22"/>
                <w:szCs w:val="22"/>
              </w:rPr>
              <w:t>Meet with stakeholders to answer questions relating to the Terms of Reference</w:t>
            </w:r>
          </w:p>
        </w:tc>
      </w:tr>
      <w:tr w:rsidR="00B619A6" w:rsidRPr="0052328A" w:rsidTr="004D04F8">
        <w:tc>
          <w:tcPr>
            <w:tcW w:w="2840" w:type="dxa"/>
          </w:tcPr>
          <w:p w:rsidR="00B619A6" w:rsidRPr="0052328A" w:rsidRDefault="00B619A6" w:rsidP="00FD19E1">
            <w:pPr>
              <w:rPr>
                <w:sz w:val="22"/>
                <w:szCs w:val="22"/>
              </w:rPr>
            </w:pPr>
            <w:r w:rsidRPr="0052328A">
              <w:rPr>
                <w:sz w:val="22"/>
                <w:szCs w:val="22"/>
              </w:rPr>
              <w:t>Stage 1</w:t>
            </w:r>
          </w:p>
        </w:tc>
        <w:tc>
          <w:tcPr>
            <w:tcW w:w="2841" w:type="dxa"/>
          </w:tcPr>
          <w:p w:rsidR="00B619A6" w:rsidRPr="0052328A" w:rsidRDefault="006D4AA7" w:rsidP="006D4AA7">
            <w:pPr>
              <w:rPr>
                <w:sz w:val="22"/>
                <w:szCs w:val="22"/>
              </w:rPr>
            </w:pPr>
            <w:r w:rsidRPr="0052328A">
              <w:rPr>
                <w:sz w:val="22"/>
                <w:szCs w:val="22"/>
              </w:rPr>
              <w:t>5</w:t>
            </w:r>
            <w:r w:rsidR="00173C94" w:rsidRPr="0052328A">
              <w:rPr>
                <w:sz w:val="22"/>
                <w:szCs w:val="22"/>
                <w:vertAlign w:val="superscript"/>
              </w:rPr>
              <w:t>th</w:t>
            </w:r>
            <w:r w:rsidR="00173C94" w:rsidRPr="0052328A">
              <w:rPr>
                <w:sz w:val="22"/>
                <w:szCs w:val="22"/>
              </w:rPr>
              <w:t xml:space="preserve"> </w:t>
            </w:r>
            <w:r w:rsidR="00EE02FA" w:rsidRPr="0052328A">
              <w:rPr>
                <w:sz w:val="22"/>
                <w:szCs w:val="22"/>
              </w:rPr>
              <w:t>December</w:t>
            </w:r>
            <w:r w:rsidR="002803FB" w:rsidRPr="0052328A">
              <w:rPr>
                <w:sz w:val="22"/>
                <w:szCs w:val="22"/>
              </w:rPr>
              <w:t xml:space="preserve"> </w:t>
            </w:r>
            <w:r w:rsidR="0094518B" w:rsidRPr="0052328A">
              <w:rPr>
                <w:sz w:val="22"/>
                <w:szCs w:val="22"/>
              </w:rPr>
              <w:t xml:space="preserve">2015 </w:t>
            </w:r>
            <w:r w:rsidR="00B619A6" w:rsidRPr="0052328A">
              <w:rPr>
                <w:sz w:val="22"/>
                <w:szCs w:val="22"/>
              </w:rPr>
              <w:t xml:space="preserve">– </w:t>
            </w:r>
            <w:r w:rsidR="00173C94" w:rsidRPr="0052328A">
              <w:rPr>
                <w:sz w:val="22"/>
                <w:szCs w:val="22"/>
              </w:rPr>
              <w:t xml:space="preserve"> 30</w:t>
            </w:r>
            <w:r w:rsidR="00173C94" w:rsidRPr="0052328A">
              <w:rPr>
                <w:sz w:val="22"/>
                <w:szCs w:val="22"/>
                <w:vertAlign w:val="superscript"/>
              </w:rPr>
              <w:t>th</w:t>
            </w:r>
            <w:r w:rsidR="00173C94" w:rsidRPr="0052328A">
              <w:rPr>
                <w:sz w:val="22"/>
                <w:szCs w:val="22"/>
              </w:rPr>
              <w:t xml:space="preserve"> </w:t>
            </w:r>
            <w:r w:rsidR="002803FB" w:rsidRPr="0052328A">
              <w:rPr>
                <w:sz w:val="22"/>
                <w:szCs w:val="22"/>
              </w:rPr>
              <w:t>March 2016</w:t>
            </w:r>
          </w:p>
        </w:tc>
        <w:tc>
          <w:tcPr>
            <w:tcW w:w="2841" w:type="dxa"/>
          </w:tcPr>
          <w:p w:rsidR="00B619A6" w:rsidRPr="0052328A" w:rsidRDefault="00B619A6" w:rsidP="00FD19E1">
            <w:pPr>
              <w:rPr>
                <w:sz w:val="22"/>
                <w:szCs w:val="22"/>
              </w:rPr>
            </w:pPr>
            <w:r w:rsidRPr="0052328A">
              <w:rPr>
                <w:sz w:val="22"/>
                <w:szCs w:val="22"/>
              </w:rPr>
              <w:t>Initial submissions invited</w:t>
            </w:r>
          </w:p>
        </w:tc>
      </w:tr>
      <w:tr w:rsidR="00B619A6" w:rsidRPr="0052328A" w:rsidTr="004D04F8">
        <w:tc>
          <w:tcPr>
            <w:tcW w:w="2840" w:type="dxa"/>
          </w:tcPr>
          <w:p w:rsidR="00B619A6" w:rsidRPr="0052328A" w:rsidRDefault="00B619A6" w:rsidP="00FD19E1">
            <w:pPr>
              <w:rPr>
                <w:sz w:val="22"/>
                <w:szCs w:val="22"/>
              </w:rPr>
            </w:pPr>
            <w:r w:rsidRPr="0052328A">
              <w:rPr>
                <w:sz w:val="22"/>
                <w:szCs w:val="22"/>
              </w:rPr>
              <w:t>Stage 2</w:t>
            </w:r>
          </w:p>
        </w:tc>
        <w:tc>
          <w:tcPr>
            <w:tcW w:w="2841" w:type="dxa"/>
          </w:tcPr>
          <w:p w:rsidR="00B619A6" w:rsidRPr="0052328A" w:rsidRDefault="00EE02FA" w:rsidP="00173C94">
            <w:pPr>
              <w:rPr>
                <w:sz w:val="22"/>
                <w:szCs w:val="22"/>
              </w:rPr>
            </w:pPr>
            <w:r w:rsidRPr="0052328A">
              <w:rPr>
                <w:sz w:val="22"/>
                <w:szCs w:val="22"/>
              </w:rPr>
              <w:t>31</w:t>
            </w:r>
            <w:r w:rsidR="00173C94" w:rsidRPr="0052328A">
              <w:rPr>
                <w:sz w:val="22"/>
                <w:szCs w:val="22"/>
                <w:vertAlign w:val="superscript"/>
              </w:rPr>
              <w:t>st</w:t>
            </w:r>
            <w:r w:rsidR="00173C94" w:rsidRPr="0052328A">
              <w:rPr>
                <w:sz w:val="22"/>
                <w:szCs w:val="22"/>
              </w:rPr>
              <w:t xml:space="preserve"> </w:t>
            </w:r>
            <w:r w:rsidRPr="0052328A">
              <w:rPr>
                <w:sz w:val="22"/>
                <w:szCs w:val="22"/>
              </w:rPr>
              <w:t>March</w:t>
            </w:r>
            <w:r w:rsidR="002803FB" w:rsidRPr="0052328A">
              <w:rPr>
                <w:sz w:val="22"/>
                <w:szCs w:val="22"/>
              </w:rPr>
              <w:t xml:space="preserve"> </w:t>
            </w:r>
            <w:r w:rsidRPr="0052328A">
              <w:rPr>
                <w:sz w:val="22"/>
                <w:szCs w:val="22"/>
              </w:rPr>
              <w:t>–</w:t>
            </w:r>
            <w:r w:rsidR="002803FB" w:rsidRPr="0052328A">
              <w:rPr>
                <w:sz w:val="22"/>
                <w:szCs w:val="22"/>
              </w:rPr>
              <w:t xml:space="preserve"> </w:t>
            </w:r>
            <w:r w:rsidRPr="0052328A">
              <w:rPr>
                <w:sz w:val="22"/>
                <w:szCs w:val="22"/>
              </w:rPr>
              <w:t>30</w:t>
            </w:r>
            <w:r w:rsidR="00173C94" w:rsidRPr="0052328A">
              <w:rPr>
                <w:sz w:val="22"/>
                <w:szCs w:val="22"/>
                <w:vertAlign w:val="superscript"/>
              </w:rPr>
              <w:t>th</w:t>
            </w:r>
            <w:r w:rsidR="00173C94" w:rsidRPr="0052328A">
              <w:rPr>
                <w:sz w:val="22"/>
                <w:szCs w:val="22"/>
              </w:rPr>
              <w:t xml:space="preserve"> </w:t>
            </w:r>
            <w:r w:rsidR="002803FB" w:rsidRPr="0052328A">
              <w:rPr>
                <w:sz w:val="22"/>
                <w:szCs w:val="22"/>
              </w:rPr>
              <w:t>June</w:t>
            </w:r>
            <w:r w:rsidR="00B619A6" w:rsidRPr="0052328A">
              <w:rPr>
                <w:sz w:val="22"/>
                <w:szCs w:val="22"/>
              </w:rPr>
              <w:t xml:space="preserve"> 201</w:t>
            </w:r>
            <w:r w:rsidR="002803FB" w:rsidRPr="0052328A">
              <w:rPr>
                <w:sz w:val="22"/>
                <w:szCs w:val="22"/>
              </w:rPr>
              <w:t>6</w:t>
            </w:r>
          </w:p>
        </w:tc>
        <w:tc>
          <w:tcPr>
            <w:tcW w:w="2841" w:type="dxa"/>
          </w:tcPr>
          <w:p w:rsidR="00B619A6" w:rsidRPr="0052328A" w:rsidRDefault="00B619A6" w:rsidP="00FD19E1">
            <w:pPr>
              <w:rPr>
                <w:sz w:val="22"/>
                <w:szCs w:val="22"/>
              </w:rPr>
            </w:pPr>
            <w:r w:rsidRPr="0052328A">
              <w:rPr>
                <w:sz w:val="22"/>
                <w:szCs w:val="22"/>
              </w:rPr>
              <w:t>Consider submissions. Prepare draft recommendations</w:t>
            </w:r>
          </w:p>
        </w:tc>
      </w:tr>
      <w:tr w:rsidR="00B619A6" w:rsidRPr="0052328A" w:rsidTr="003F4717">
        <w:trPr>
          <w:trHeight w:val="632"/>
        </w:trPr>
        <w:tc>
          <w:tcPr>
            <w:tcW w:w="2840" w:type="dxa"/>
          </w:tcPr>
          <w:p w:rsidR="00B619A6" w:rsidRPr="0052328A" w:rsidRDefault="00B619A6" w:rsidP="00FD19E1">
            <w:pPr>
              <w:rPr>
                <w:sz w:val="22"/>
                <w:szCs w:val="22"/>
              </w:rPr>
            </w:pPr>
            <w:r w:rsidRPr="0052328A">
              <w:rPr>
                <w:sz w:val="22"/>
                <w:szCs w:val="22"/>
              </w:rPr>
              <w:t>Stage 3</w:t>
            </w:r>
          </w:p>
        </w:tc>
        <w:tc>
          <w:tcPr>
            <w:tcW w:w="2841" w:type="dxa"/>
          </w:tcPr>
          <w:p w:rsidR="00B619A6" w:rsidRPr="0052328A" w:rsidRDefault="00EE02FA" w:rsidP="00173C94">
            <w:pPr>
              <w:rPr>
                <w:sz w:val="22"/>
                <w:szCs w:val="22"/>
              </w:rPr>
            </w:pPr>
            <w:r w:rsidRPr="0052328A">
              <w:rPr>
                <w:sz w:val="22"/>
                <w:szCs w:val="22"/>
              </w:rPr>
              <w:t>4</w:t>
            </w:r>
            <w:r w:rsidR="00173C94" w:rsidRPr="0052328A">
              <w:rPr>
                <w:sz w:val="22"/>
                <w:szCs w:val="22"/>
                <w:vertAlign w:val="superscript"/>
              </w:rPr>
              <w:t>th</w:t>
            </w:r>
            <w:r w:rsidR="00173C94" w:rsidRPr="0052328A">
              <w:rPr>
                <w:sz w:val="22"/>
                <w:szCs w:val="22"/>
              </w:rPr>
              <w:t xml:space="preserve"> </w:t>
            </w:r>
            <w:r w:rsidR="002803FB" w:rsidRPr="0052328A">
              <w:rPr>
                <w:sz w:val="22"/>
                <w:szCs w:val="22"/>
              </w:rPr>
              <w:t xml:space="preserve">July – </w:t>
            </w:r>
            <w:r w:rsidRPr="0052328A">
              <w:rPr>
                <w:sz w:val="22"/>
                <w:szCs w:val="22"/>
              </w:rPr>
              <w:t xml:space="preserve"> 16</w:t>
            </w:r>
            <w:r w:rsidR="00173C94" w:rsidRPr="0052328A">
              <w:rPr>
                <w:sz w:val="22"/>
                <w:szCs w:val="22"/>
                <w:vertAlign w:val="superscript"/>
              </w:rPr>
              <w:t>th</w:t>
            </w:r>
            <w:r w:rsidR="00173C94" w:rsidRPr="0052328A">
              <w:rPr>
                <w:sz w:val="22"/>
                <w:szCs w:val="22"/>
              </w:rPr>
              <w:t xml:space="preserve"> </w:t>
            </w:r>
            <w:r w:rsidR="002803FB" w:rsidRPr="0052328A">
              <w:rPr>
                <w:sz w:val="22"/>
                <w:szCs w:val="22"/>
              </w:rPr>
              <w:t xml:space="preserve">September </w:t>
            </w:r>
            <w:r w:rsidR="00B619A6" w:rsidRPr="0052328A">
              <w:rPr>
                <w:sz w:val="22"/>
                <w:szCs w:val="22"/>
              </w:rPr>
              <w:t>201</w:t>
            </w:r>
            <w:r w:rsidR="002803FB" w:rsidRPr="0052328A">
              <w:rPr>
                <w:sz w:val="22"/>
                <w:szCs w:val="22"/>
              </w:rPr>
              <w:t>6</w:t>
            </w:r>
          </w:p>
        </w:tc>
        <w:tc>
          <w:tcPr>
            <w:tcW w:w="2841" w:type="dxa"/>
          </w:tcPr>
          <w:p w:rsidR="00B619A6" w:rsidRPr="0052328A" w:rsidRDefault="00B619A6" w:rsidP="00FD19E1">
            <w:pPr>
              <w:rPr>
                <w:sz w:val="22"/>
                <w:szCs w:val="22"/>
              </w:rPr>
            </w:pPr>
            <w:r w:rsidRPr="0052328A">
              <w:rPr>
                <w:sz w:val="22"/>
                <w:szCs w:val="22"/>
              </w:rPr>
              <w:t>Draft recommendations published and comments sought</w:t>
            </w:r>
          </w:p>
        </w:tc>
      </w:tr>
      <w:tr w:rsidR="00B619A6" w:rsidRPr="0052328A" w:rsidTr="004D04F8">
        <w:tc>
          <w:tcPr>
            <w:tcW w:w="2840" w:type="dxa"/>
          </w:tcPr>
          <w:p w:rsidR="00B619A6" w:rsidRPr="0052328A" w:rsidRDefault="00B619A6" w:rsidP="00FD19E1">
            <w:pPr>
              <w:rPr>
                <w:sz w:val="22"/>
                <w:szCs w:val="22"/>
              </w:rPr>
            </w:pPr>
            <w:r w:rsidRPr="0052328A">
              <w:rPr>
                <w:sz w:val="22"/>
                <w:szCs w:val="22"/>
              </w:rPr>
              <w:t>Stage 4</w:t>
            </w:r>
          </w:p>
        </w:tc>
        <w:tc>
          <w:tcPr>
            <w:tcW w:w="2841" w:type="dxa"/>
          </w:tcPr>
          <w:p w:rsidR="00B619A6" w:rsidRPr="0052328A" w:rsidRDefault="00EE02FA" w:rsidP="00173C94">
            <w:pPr>
              <w:rPr>
                <w:sz w:val="22"/>
                <w:szCs w:val="22"/>
              </w:rPr>
            </w:pPr>
            <w:r w:rsidRPr="0052328A">
              <w:rPr>
                <w:sz w:val="22"/>
                <w:szCs w:val="22"/>
              </w:rPr>
              <w:t>19</w:t>
            </w:r>
            <w:r w:rsidR="00173C94" w:rsidRPr="0052328A">
              <w:rPr>
                <w:sz w:val="22"/>
                <w:szCs w:val="22"/>
                <w:vertAlign w:val="superscript"/>
              </w:rPr>
              <w:t>th</w:t>
            </w:r>
            <w:r w:rsidR="00173C94" w:rsidRPr="0052328A">
              <w:rPr>
                <w:sz w:val="22"/>
                <w:szCs w:val="22"/>
              </w:rPr>
              <w:t xml:space="preserve"> </w:t>
            </w:r>
            <w:r w:rsidR="002803FB" w:rsidRPr="0052328A">
              <w:rPr>
                <w:sz w:val="22"/>
                <w:szCs w:val="22"/>
              </w:rPr>
              <w:t xml:space="preserve">September – </w:t>
            </w:r>
            <w:r w:rsidRPr="0052328A">
              <w:rPr>
                <w:sz w:val="22"/>
                <w:szCs w:val="22"/>
              </w:rPr>
              <w:t xml:space="preserve"> </w:t>
            </w:r>
            <w:r w:rsidR="00B619A6" w:rsidRPr="0052328A">
              <w:rPr>
                <w:sz w:val="22"/>
                <w:szCs w:val="22"/>
              </w:rPr>
              <w:t>November</w:t>
            </w:r>
            <w:r w:rsidR="002803FB" w:rsidRPr="0052328A">
              <w:rPr>
                <w:sz w:val="22"/>
                <w:szCs w:val="22"/>
              </w:rPr>
              <w:t xml:space="preserve"> 2016</w:t>
            </w:r>
          </w:p>
        </w:tc>
        <w:tc>
          <w:tcPr>
            <w:tcW w:w="2841" w:type="dxa"/>
          </w:tcPr>
          <w:p w:rsidR="00B619A6" w:rsidRPr="0052328A" w:rsidRDefault="00B619A6" w:rsidP="00FD19E1">
            <w:pPr>
              <w:rPr>
                <w:sz w:val="22"/>
                <w:szCs w:val="22"/>
              </w:rPr>
            </w:pPr>
            <w:r w:rsidRPr="0052328A">
              <w:rPr>
                <w:sz w:val="22"/>
                <w:szCs w:val="22"/>
              </w:rPr>
              <w:t>Consider final submissions and prepare recommendations</w:t>
            </w:r>
          </w:p>
        </w:tc>
      </w:tr>
      <w:tr w:rsidR="00B619A6" w:rsidRPr="0052328A" w:rsidTr="004D04F8">
        <w:tc>
          <w:tcPr>
            <w:tcW w:w="2840" w:type="dxa"/>
          </w:tcPr>
          <w:p w:rsidR="00B619A6" w:rsidRPr="0052328A" w:rsidRDefault="00B619A6" w:rsidP="00FD19E1">
            <w:pPr>
              <w:rPr>
                <w:sz w:val="22"/>
                <w:szCs w:val="22"/>
              </w:rPr>
            </w:pPr>
            <w:r w:rsidRPr="0052328A">
              <w:rPr>
                <w:sz w:val="22"/>
                <w:szCs w:val="22"/>
              </w:rPr>
              <w:t>Final recommendations</w:t>
            </w:r>
          </w:p>
        </w:tc>
        <w:tc>
          <w:tcPr>
            <w:tcW w:w="2841" w:type="dxa"/>
          </w:tcPr>
          <w:p w:rsidR="00B619A6" w:rsidRPr="0052328A" w:rsidRDefault="00173C94" w:rsidP="00173C94">
            <w:pPr>
              <w:rPr>
                <w:sz w:val="22"/>
                <w:szCs w:val="22"/>
              </w:rPr>
            </w:pPr>
            <w:r w:rsidRPr="0052328A">
              <w:rPr>
                <w:sz w:val="22"/>
                <w:szCs w:val="22"/>
              </w:rPr>
              <w:t>November /</w:t>
            </w:r>
            <w:r w:rsidR="002803FB" w:rsidRPr="0052328A">
              <w:rPr>
                <w:sz w:val="22"/>
                <w:szCs w:val="22"/>
              </w:rPr>
              <w:t xml:space="preserve"> December </w:t>
            </w:r>
            <w:r w:rsidR="00B619A6" w:rsidRPr="0052328A">
              <w:rPr>
                <w:sz w:val="22"/>
                <w:szCs w:val="22"/>
              </w:rPr>
              <w:t>201</w:t>
            </w:r>
            <w:r w:rsidR="002803FB" w:rsidRPr="0052328A">
              <w:rPr>
                <w:sz w:val="22"/>
                <w:szCs w:val="22"/>
              </w:rPr>
              <w:t>6</w:t>
            </w:r>
          </w:p>
        </w:tc>
        <w:tc>
          <w:tcPr>
            <w:tcW w:w="2841" w:type="dxa"/>
          </w:tcPr>
          <w:p w:rsidR="00B619A6" w:rsidRPr="0052328A" w:rsidRDefault="00B619A6" w:rsidP="00FD19E1">
            <w:pPr>
              <w:rPr>
                <w:sz w:val="22"/>
                <w:szCs w:val="22"/>
              </w:rPr>
            </w:pPr>
            <w:r w:rsidRPr="0052328A">
              <w:rPr>
                <w:sz w:val="22"/>
                <w:szCs w:val="22"/>
              </w:rPr>
              <w:t>Publish Final recommendations</w:t>
            </w:r>
          </w:p>
        </w:tc>
      </w:tr>
      <w:tr w:rsidR="00B619A6" w:rsidRPr="0052328A" w:rsidTr="004D04F8">
        <w:tc>
          <w:tcPr>
            <w:tcW w:w="2840" w:type="dxa"/>
          </w:tcPr>
          <w:p w:rsidR="00B619A6" w:rsidRPr="0052328A" w:rsidRDefault="00B619A6" w:rsidP="00453D3C">
            <w:pPr>
              <w:rPr>
                <w:sz w:val="22"/>
                <w:szCs w:val="22"/>
              </w:rPr>
            </w:pPr>
            <w:r w:rsidRPr="0052328A">
              <w:rPr>
                <w:sz w:val="22"/>
                <w:szCs w:val="22"/>
              </w:rPr>
              <w:t>Implementation Order</w:t>
            </w:r>
          </w:p>
        </w:tc>
        <w:tc>
          <w:tcPr>
            <w:tcW w:w="2841" w:type="dxa"/>
          </w:tcPr>
          <w:p w:rsidR="00B619A6" w:rsidRPr="0052328A" w:rsidRDefault="004154FF" w:rsidP="002803FB">
            <w:pPr>
              <w:rPr>
                <w:sz w:val="22"/>
                <w:szCs w:val="22"/>
              </w:rPr>
            </w:pPr>
            <w:r w:rsidRPr="0052328A">
              <w:rPr>
                <w:sz w:val="22"/>
                <w:szCs w:val="22"/>
              </w:rPr>
              <w:t xml:space="preserve">January </w:t>
            </w:r>
            <w:r w:rsidR="002803FB" w:rsidRPr="0052328A">
              <w:rPr>
                <w:sz w:val="22"/>
                <w:szCs w:val="22"/>
              </w:rPr>
              <w:t xml:space="preserve"> 201</w:t>
            </w:r>
            <w:r w:rsidRPr="0052328A">
              <w:rPr>
                <w:sz w:val="22"/>
                <w:szCs w:val="22"/>
              </w:rPr>
              <w:t>7</w:t>
            </w:r>
          </w:p>
        </w:tc>
        <w:tc>
          <w:tcPr>
            <w:tcW w:w="2841" w:type="dxa"/>
          </w:tcPr>
          <w:p w:rsidR="00B619A6" w:rsidRPr="0052328A" w:rsidRDefault="00B619A6" w:rsidP="00453D3C">
            <w:pPr>
              <w:rPr>
                <w:sz w:val="22"/>
                <w:szCs w:val="22"/>
              </w:rPr>
            </w:pPr>
            <w:r w:rsidRPr="0052328A">
              <w:rPr>
                <w:sz w:val="22"/>
                <w:szCs w:val="22"/>
              </w:rPr>
              <w:t>Council to make Order</w:t>
            </w:r>
          </w:p>
        </w:tc>
      </w:tr>
    </w:tbl>
    <w:p w:rsidR="004D04F8" w:rsidRPr="0052328A" w:rsidRDefault="004D04F8" w:rsidP="00FD19E1">
      <w:pPr>
        <w:rPr>
          <w:sz w:val="22"/>
          <w:szCs w:val="22"/>
        </w:rPr>
      </w:pPr>
    </w:p>
    <w:p w:rsidR="00C57CC5" w:rsidRPr="0052328A" w:rsidRDefault="00C57CC5" w:rsidP="00FD19E1">
      <w:pPr>
        <w:rPr>
          <w:sz w:val="22"/>
          <w:szCs w:val="22"/>
        </w:rPr>
      </w:pPr>
    </w:p>
    <w:p w:rsidR="00777E56" w:rsidRPr="0052328A" w:rsidRDefault="00A51723" w:rsidP="00FD19E1">
      <w:pPr>
        <w:rPr>
          <w:b/>
          <w:sz w:val="22"/>
          <w:szCs w:val="22"/>
          <w:u w:val="single"/>
        </w:rPr>
      </w:pPr>
      <w:r w:rsidRPr="0052328A">
        <w:rPr>
          <w:b/>
          <w:sz w:val="22"/>
          <w:szCs w:val="22"/>
          <w:u w:val="single"/>
        </w:rPr>
        <w:t>Electorate forecasts for the Borough</w:t>
      </w:r>
    </w:p>
    <w:p w:rsidR="00A51723" w:rsidRPr="0052328A" w:rsidRDefault="002803FB" w:rsidP="00FD19E1">
      <w:pPr>
        <w:rPr>
          <w:sz w:val="22"/>
          <w:szCs w:val="22"/>
        </w:rPr>
      </w:pPr>
      <w:r w:rsidRPr="0052328A">
        <w:rPr>
          <w:sz w:val="22"/>
          <w:szCs w:val="22"/>
        </w:rPr>
        <w:t>T</w:t>
      </w:r>
      <w:r w:rsidR="00A51723" w:rsidRPr="0052328A">
        <w:rPr>
          <w:sz w:val="22"/>
          <w:szCs w:val="22"/>
        </w:rPr>
        <w:t xml:space="preserve">his Review will be conducted using </w:t>
      </w:r>
      <w:r w:rsidRPr="0052328A">
        <w:rPr>
          <w:sz w:val="22"/>
          <w:szCs w:val="22"/>
        </w:rPr>
        <w:t xml:space="preserve">electoral data taken from the </w:t>
      </w:r>
      <w:r w:rsidR="00A51723" w:rsidRPr="0052328A">
        <w:rPr>
          <w:sz w:val="22"/>
          <w:szCs w:val="22"/>
        </w:rPr>
        <w:t>December 201</w:t>
      </w:r>
      <w:r w:rsidRPr="0052328A">
        <w:rPr>
          <w:sz w:val="22"/>
          <w:szCs w:val="22"/>
        </w:rPr>
        <w:t>5</w:t>
      </w:r>
      <w:r w:rsidR="00A51723" w:rsidRPr="0052328A">
        <w:rPr>
          <w:sz w:val="22"/>
          <w:szCs w:val="22"/>
        </w:rPr>
        <w:t xml:space="preserve"> electoral register.</w:t>
      </w:r>
    </w:p>
    <w:p w:rsidR="00A51723" w:rsidRPr="0052328A" w:rsidRDefault="00A51723" w:rsidP="00FD19E1">
      <w:pPr>
        <w:rPr>
          <w:sz w:val="22"/>
          <w:szCs w:val="22"/>
        </w:rPr>
      </w:pPr>
    </w:p>
    <w:p w:rsidR="002803FB" w:rsidRPr="0052328A" w:rsidRDefault="002803FB" w:rsidP="00FD19E1">
      <w:pPr>
        <w:rPr>
          <w:sz w:val="22"/>
          <w:szCs w:val="22"/>
        </w:rPr>
      </w:pPr>
    </w:p>
    <w:p w:rsidR="00FD19E1" w:rsidRPr="0052328A" w:rsidRDefault="00D80F93" w:rsidP="00FD19E1">
      <w:pPr>
        <w:rPr>
          <w:b/>
          <w:sz w:val="22"/>
          <w:szCs w:val="22"/>
          <w:u w:val="single"/>
        </w:rPr>
      </w:pPr>
      <w:r w:rsidRPr="0052328A">
        <w:rPr>
          <w:b/>
          <w:sz w:val="22"/>
          <w:szCs w:val="22"/>
          <w:u w:val="single"/>
        </w:rPr>
        <w:t>Representations</w:t>
      </w:r>
    </w:p>
    <w:p w:rsidR="00D80F93" w:rsidRPr="0052328A" w:rsidRDefault="00D80F93" w:rsidP="00FD19E1">
      <w:pPr>
        <w:rPr>
          <w:sz w:val="22"/>
          <w:szCs w:val="22"/>
        </w:rPr>
      </w:pPr>
      <w:r w:rsidRPr="0052328A">
        <w:rPr>
          <w:sz w:val="22"/>
          <w:szCs w:val="22"/>
        </w:rPr>
        <w:t>Swindon Borough Council welcomes all representations from any person or body who may wish to comment or make proposals on any aspect of the matters under review</w:t>
      </w:r>
    </w:p>
    <w:p w:rsidR="00D80F93" w:rsidRPr="0052328A" w:rsidRDefault="00D80F93" w:rsidP="00FD19E1">
      <w:pPr>
        <w:rPr>
          <w:sz w:val="22"/>
          <w:szCs w:val="22"/>
        </w:rPr>
      </w:pPr>
    </w:p>
    <w:p w:rsidR="00D80F93" w:rsidRPr="0052328A" w:rsidRDefault="00D80F93" w:rsidP="00F91389">
      <w:pPr>
        <w:rPr>
          <w:sz w:val="22"/>
          <w:szCs w:val="22"/>
        </w:rPr>
      </w:pPr>
      <w:r w:rsidRPr="0052328A">
        <w:rPr>
          <w:sz w:val="22"/>
          <w:szCs w:val="22"/>
        </w:rPr>
        <w:t xml:space="preserve">Representations should be addressed to; </w:t>
      </w:r>
      <w:r w:rsidR="00F91389" w:rsidRPr="0052328A">
        <w:rPr>
          <w:sz w:val="22"/>
          <w:szCs w:val="22"/>
        </w:rPr>
        <w:t>Paula Harrison</w:t>
      </w:r>
      <w:r w:rsidR="00E759D0" w:rsidRPr="0052328A">
        <w:rPr>
          <w:sz w:val="22"/>
          <w:szCs w:val="22"/>
        </w:rPr>
        <w:t xml:space="preserve">, </w:t>
      </w:r>
      <w:r w:rsidR="00F91389" w:rsidRPr="0052328A">
        <w:rPr>
          <w:sz w:val="22"/>
          <w:szCs w:val="22"/>
        </w:rPr>
        <w:t>Locality Lead East</w:t>
      </w:r>
      <w:r w:rsidR="00E759D0" w:rsidRPr="0052328A">
        <w:rPr>
          <w:sz w:val="22"/>
          <w:szCs w:val="22"/>
        </w:rPr>
        <w:t xml:space="preserve"> </w:t>
      </w:r>
      <w:r w:rsidR="00F91389" w:rsidRPr="0052328A">
        <w:rPr>
          <w:sz w:val="22"/>
          <w:szCs w:val="22"/>
        </w:rPr>
        <w:t>/</w:t>
      </w:r>
      <w:r w:rsidR="00E759D0" w:rsidRPr="0052328A">
        <w:rPr>
          <w:sz w:val="22"/>
          <w:szCs w:val="22"/>
        </w:rPr>
        <w:t xml:space="preserve"> </w:t>
      </w:r>
      <w:r w:rsidR="00F91389" w:rsidRPr="0052328A">
        <w:rPr>
          <w:sz w:val="22"/>
          <w:szCs w:val="22"/>
        </w:rPr>
        <w:t>West</w:t>
      </w:r>
      <w:r w:rsidRPr="0052328A">
        <w:rPr>
          <w:sz w:val="22"/>
          <w:szCs w:val="22"/>
        </w:rPr>
        <w:t xml:space="preserve">, Swindon Borough Council, </w:t>
      </w:r>
      <w:r w:rsidR="00E759D0" w:rsidRPr="0052328A">
        <w:rPr>
          <w:sz w:val="22"/>
          <w:szCs w:val="22"/>
        </w:rPr>
        <w:t>Wat Tyler East, Beckhampton Street, Swindon, SN1 2JG (tel: 01793 466418)</w:t>
      </w:r>
      <w:r w:rsidRPr="0052328A">
        <w:rPr>
          <w:sz w:val="22"/>
          <w:szCs w:val="22"/>
        </w:rPr>
        <w:t>.  Representations may</w:t>
      </w:r>
      <w:r w:rsidR="00E759D0" w:rsidRPr="0052328A">
        <w:rPr>
          <w:sz w:val="22"/>
          <w:szCs w:val="22"/>
        </w:rPr>
        <w:t xml:space="preserve"> also</w:t>
      </w:r>
      <w:r w:rsidRPr="0052328A">
        <w:rPr>
          <w:sz w:val="22"/>
          <w:szCs w:val="22"/>
        </w:rPr>
        <w:t xml:space="preserve"> be delivered by email to </w:t>
      </w:r>
      <w:hyperlink r:id="rId6" w:history="1">
        <w:r w:rsidR="00E759D0" w:rsidRPr="0052328A">
          <w:rPr>
            <w:rStyle w:val="Hyperlink"/>
            <w:sz w:val="22"/>
            <w:szCs w:val="22"/>
          </w:rPr>
          <w:t>cgr@swindon.gov.uk</w:t>
        </w:r>
      </w:hyperlink>
      <w:r w:rsidR="00AF595D" w:rsidRPr="0052328A">
        <w:rPr>
          <w:sz w:val="22"/>
          <w:szCs w:val="22"/>
        </w:rPr>
        <w:t>.</w:t>
      </w:r>
    </w:p>
    <w:p w:rsidR="00FD19E1" w:rsidRPr="0052328A" w:rsidRDefault="00FD19E1" w:rsidP="00FD19E1">
      <w:pPr>
        <w:rPr>
          <w:sz w:val="22"/>
          <w:szCs w:val="22"/>
        </w:rPr>
      </w:pPr>
    </w:p>
    <w:p w:rsidR="00AF595D" w:rsidRPr="0052328A" w:rsidRDefault="00AF595D" w:rsidP="00FD19E1">
      <w:pPr>
        <w:rPr>
          <w:sz w:val="22"/>
          <w:szCs w:val="22"/>
        </w:rPr>
      </w:pPr>
      <w:r w:rsidRPr="0052328A">
        <w:rPr>
          <w:sz w:val="22"/>
          <w:szCs w:val="22"/>
        </w:rPr>
        <w:t xml:space="preserve">All initial representations must be made by </w:t>
      </w:r>
      <w:r w:rsidR="00C57CC5" w:rsidRPr="0052328A">
        <w:rPr>
          <w:sz w:val="22"/>
          <w:szCs w:val="22"/>
        </w:rPr>
        <w:t>3</w:t>
      </w:r>
      <w:r w:rsidR="00B30B7B" w:rsidRPr="0052328A">
        <w:rPr>
          <w:sz w:val="22"/>
          <w:szCs w:val="22"/>
        </w:rPr>
        <w:t>1</w:t>
      </w:r>
      <w:r w:rsidR="00C57CC5" w:rsidRPr="0052328A">
        <w:rPr>
          <w:sz w:val="22"/>
          <w:szCs w:val="22"/>
          <w:vertAlign w:val="superscript"/>
        </w:rPr>
        <w:t>st</w:t>
      </w:r>
      <w:r w:rsidR="00C57CC5" w:rsidRPr="0052328A">
        <w:rPr>
          <w:sz w:val="22"/>
          <w:szCs w:val="22"/>
        </w:rPr>
        <w:t xml:space="preserve"> Ma</w:t>
      </w:r>
      <w:r w:rsidR="002803FB" w:rsidRPr="0052328A">
        <w:rPr>
          <w:sz w:val="22"/>
          <w:szCs w:val="22"/>
        </w:rPr>
        <w:t>rch</w:t>
      </w:r>
      <w:r w:rsidR="00B30B7B" w:rsidRPr="0052328A">
        <w:rPr>
          <w:sz w:val="22"/>
          <w:szCs w:val="22"/>
        </w:rPr>
        <w:t xml:space="preserve"> 201</w:t>
      </w:r>
      <w:r w:rsidR="002803FB" w:rsidRPr="0052328A">
        <w:rPr>
          <w:sz w:val="22"/>
          <w:szCs w:val="22"/>
        </w:rPr>
        <w:t>6</w:t>
      </w:r>
      <w:r w:rsidR="00B30B7B" w:rsidRPr="0052328A">
        <w:rPr>
          <w:sz w:val="22"/>
          <w:szCs w:val="22"/>
        </w:rPr>
        <w:t xml:space="preserve"> and </w:t>
      </w:r>
      <w:r w:rsidR="00B608A3" w:rsidRPr="0052328A">
        <w:rPr>
          <w:sz w:val="22"/>
          <w:szCs w:val="22"/>
        </w:rPr>
        <w:t xml:space="preserve">it is expected that </w:t>
      </w:r>
      <w:r w:rsidR="00B30B7B" w:rsidRPr="0052328A">
        <w:rPr>
          <w:sz w:val="22"/>
          <w:szCs w:val="22"/>
        </w:rPr>
        <w:t>the draft recommendatio</w:t>
      </w:r>
      <w:r w:rsidR="003F4717" w:rsidRPr="0052328A">
        <w:rPr>
          <w:sz w:val="22"/>
          <w:szCs w:val="22"/>
        </w:rPr>
        <w:t xml:space="preserve">ns </w:t>
      </w:r>
      <w:r w:rsidR="00C57CC5" w:rsidRPr="0052328A">
        <w:rPr>
          <w:sz w:val="22"/>
          <w:szCs w:val="22"/>
        </w:rPr>
        <w:t xml:space="preserve">will be published </w:t>
      </w:r>
      <w:r w:rsidR="002803FB" w:rsidRPr="0052328A">
        <w:rPr>
          <w:sz w:val="22"/>
          <w:szCs w:val="22"/>
        </w:rPr>
        <w:t xml:space="preserve">by </w:t>
      </w:r>
      <w:r w:rsidR="00B608A3" w:rsidRPr="0052328A">
        <w:rPr>
          <w:sz w:val="22"/>
          <w:szCs w:val="22"/>
        </w:rPr>
        <w:t>4</w:t>
      </w:r>
      <w:r w:rsidR="00B608A3" w:rsidRPr="0052328A">
        <w:rPr>
          <w:sz w:val="22"/>
          <w:szCs w:val="22"/>
          <w:vertAlign w:val="superscript"/>
        </w:rPr>
        <w:t>th</w:t>
      </w:r>
      <w:r w:rsidR="00B608A3" w:rsidRPr="0052328A">
        <w:rPr>
          <w:sz w:val="22"/>
          <w:szCs w:val="22"/>
        </w:rPr>
        <w:t xml:space="preserve"> </w:t>
      </w:r>
      <w:r w:rsidR="002803FB" w:rsidRPr="0052328A">
        <w:rPr>
          <w:sz w:val="22"/>
          <w:szCs w:val="22"/>
        </w:rPr>
        <w:t>July</w:t>
      </w:r>
      <w:r w:rsidR="00B30B7B" w:rsidRPr="0052328A">
        <w:rPr>
          <w:sz w:val="22"/>
          <w:szCs w:val="22"/>
        </w:rPr>
        <w:t xml:space="preserve"> 201</w:t>
      </w:r>
      <w:r w:rsidR="002803FB" w:rsidRPr="0052328A">
        <w:rPr>
          <w:sz w:val="22"/>
          <w:szCs w:val="22"/>
        </w:rPr>
        <w:t>6.</w:t>
      </w:r>
    </w:p>
    <w:p w:rsidR="00B30B7B" w:rsidRPr="0052328A" w:rsidRDefault="00B30B7B" w:rsidP="00FD19E1">
      <w:pPr>
        <w:rPr>
          <w:sz w:val="22"/>
          <w:szCs w:val="22"/>
        </w:rPr>
      </w:pPr>
    </w:p>
    <w:p w:rsidR="00B30B7B" w:rsidRPr="0052328A" w:rsidRDefault="00B30B7B" w:rsidP="00FD19E1">
      <w:pPr>
        <w:rPr>
          <w:sz w:val="22"/>
          <w:szCs w:val="22"/>
        </w:rPr>
      </w:pPr>
      <w:r w:rsidRPr="0052328A">
        <w:rPr>
          <w:sz w:val="22"/>
          <w:szCs w:val="22"/>
        </w:rPr>
        <w:t xml:space="preserve">This Review is deemed to have commenced on the date of </w:t>
      </w:r>
      <w:r w:rsidR="00173C94" w:rsidRPr="0052328A">
        <w:rPr>
          <w:sz w:val="22"/>
          <w:szCs w:val="22"/>
        </w:rPr>
        <w:t xml:space="preserve">the publication of </w:t>
      </w:r>
      <w:r w:rsidRPr="0052328A">
        <w:rPr>
          <w:sz w:val="22"/>
          <w:szCs w:val="22"/>
        </w:rPr>
        <w:t>this Notice</w:t>
      </w:r>
    </w:p>
    <w:p w:rsidR="00B30B7B" w:rsidRPr="0052328A" w:rsidRDefault="00B30B7B" w:rsidP="00FD19E1">
      <w:pPr>
        <w:rPr>
          <w:sz w:val="22"/>
          <w:szCs w:val="22"/>
        </w:rPr>
      </w:pPr>
    </w:p>
    <w:p w:rsidR="00B30B7B" w:rsidRPr="0052328A" w:rsidRDefault="00B30B7B" w:rsidP="00FD19E1">
      <w:pPr>
        <w:rPr>
          <w:sz w:val="22"/>
          <w:szCs w:val="22"/>
        </w:rPr>
      </w:pPr>
    </w:p>
    <w:p w:rsidR="00B30B7B" w:rsidRPr="0052328A" w:rsidRDefault="00B30B7B" w:rsidP="00FD19E1">
      <w:pPr>
        <w:rPr>
          <w:sz w:val="22"/>
          <w:szCs w:val="22"/>
        </w:rPr>
      </w:pPr>
      <w:r w:rsidRPr="0052328A">
        <w:rPr>
          <w:sz w:val="22"/>
          <w:szCs w:val="22"/>
        </w:rPr>
        <w:t>Stephen Taylor</w:t>
      </w:r>
    </w:p>
    <w:p w:rsidR="00B30B7B" w:rsidRPr="0052328A" w:rsidRDefault="00B30B7B" w:rsidP="00FD19E1">
      <w:pPr>
        <w:rPr>
          <w:sz w:val="22"/>
          <w:szCs w:val="22"/>
        </w:rPr>
      </w:pPr>
      <w:r w:rsidRPr="0052328A">
        <w:rPr>
          <w:sz w:val="22"/>
          <w:szCs w:val="22"/>
        </w:rPr>
        <w:t>Director of Law &amp; Democratic Services</w:t>
      </w:r>
    </w:p>
    <w:p w:rsidR="00BC2759" w:rsidRPr="0052328A" w:rsidRDefault="00E759D0" w:rsidP="00FD19E1">
      <w:pPr>
        <w:rPr>
          <w:sz w:val="22"/>
          <w:szCs w:val="22"/>
        </w:rPr>
      </w:pPr>
      <w:r w:rsidRPr="0052328A">
        <w:rPr>
          <w:sz w:val="22"/>
          <w:szCs w:val="22"/>
        </w:rPr>
        <w:t>3</w:t>
      </w:r>
      <w:r w:rsidRPr="0052328A">
        <w:rPr>
          <w:sz w:val="22"/>
          <w:szCs w:val="22"/>
          <w:vertAlign w:val="superscript"/>
        </w:rPr>
        <w:t>rd</w:t>
      </w:r>
      <w:r w:rsidRPr="0052328A">
        <w:rPr>
          <w:sz w:val="22"/>
          <w:szCs w:val="22"/>
        </w:rPr>
        <w:t xml:space="preserve"> </w:t>
      </w:r>
      <w:r w:rsidR="00173C94" w:rsidRPr="0052328A">
        <w:rPr>
          <w:sz w:val="22"/>
          <w:szCs w:val="22"/>
        </w:rPr>
        <w:t>December 2015</w:t>
      </w:r>
    </w:p>
    <w:sectPr w:rsidR="00BC2759" w:rsidRPr="0052328A" w:rsidSect="005232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1823"/>
    <w:multiLevelType w:val="hybridMultilevel"/>
    <w:tmpl w:val="7BB08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2A03B4"/>
    <w:multiLevelType w:val="hybridMultilevel"/>
    <w:tmpl w:val="92D8C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BD7D9B"/>
    <w:multiLevelType w:val="hybridMultilevel"/>
    <w:tmpl w:val="C088A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5F7DF2"/>
    <w:rsid w:val="000179B6"/>
    <w:rsid w:val="000558F2"/>
    <w:rsid w:val="001041A9"/>
    <w:rsid w:val="0011221A"/>
    <w:rsid w:val="0015153A"/>
    <w:rsid w:val="001613B3"/>
    <w:rsid w:val="00173C94"/>
    <w:rsid w:val="001B4D81"/>
    <w:rsid w:val="001C1680"/>
    <w:rsid w:val="00226DB3"/>
    <w:rsid w:val="002803FB"/>
    <w:rsid w:val="00343D5D"/>
    <w:rsid w:val="003832F3"/>
    <w:rsid w:val="003E3423"/>
    <w:rsid w:val="003F4717"/>
    <w:rsid w:val="004154FF"/>
    <w:rsid w:val="00453D3C"/>
    <w:rsid w:val="00461D37"/>
    <w:rsid w:val="004B377A"/>
    <w:rsid w:val="004C788B"/>
    <w:rsid w:val="004D04F8"/>
    <w:rsid w:val="0052328A"/>
    <w:rsid w:val="005A2157"/>
    <w:rsid w:val="005F7DF2"/>
    <w:rsid w:val="006D4AA7"/>
    <w:rsid w:val="006D5BE3"/>
    <w:rsid w:val="00731C66"/>
    <w:rsid w:val="00757B76"/>
    <w:rsid w:val="00777E56"/>
    <w:rsid w:val="007908A1"/>
    <w:rsid w:val="00834502"/>
    <w:rsid w:val="00867BE1"/>
    <w:rsid w:val="00871355"/>
    <w:rsid w:val="008E13C6"/>
    <w:rsid w:val="0094518B"/>
    <w:rsid w:val="00A51723"/>
    <w:rsid w:val="00AF595D"/>
    <w:rsid w:val="00B30B7B"/>
    <w:rsid w:val="00B608A3"/>
    <w:rsid w:val="00B619A6"/>
    <w:rsid w:val="00BC2759"/>
    <w:rsid w:val="00C57CC5"/>
    <w:rsid w:val="00CA6A01"/>
    <w:rsid w:val="00D80F93"/>
    <w:rsid w:val="00DA1EC5"/>
    <w:rsid w:val="00DD1988"/>
    <w:rsid w:val="00DF1BD5"/>
    <w:rsid w:val="00E73169"/>
    <w:rsid w:val="00E759D0"/>
    <w:rsid w:val="00EE02FA"/>
    <w:rsid w:val="00EF752B"/>
    <w:rsid w:val="00F91389"/>
    <w:rsid w:val="00FD19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A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69"/>
    <w:pPr>
      <w:ind w:left="720"/>
      <w:contextualSpacing/>
    </w:pPr>
  </w:style>
  <w:style w:type="paragraph" w:customStyle="1" w:styleId="Default">
    <w:name w:val="Default"/>
    <w:rsid w:val="00E73169"/>
    <w:rPr>
      <w:rFonts w:ascii="Arial" w:hAnsi="Arial"/>
      <w:snapToGrid w:val="0"/>
      <w:color w:val="000000"/>
      <w:sz w:val="24"/>
      <w:lang w:eastAsia="en-US"/>
    </w:rPr>
  </w:style>
  <w:style w:type="paragraph" w:styleId="ListBullet">
    <w:name w:val="List Bullet"/>
    <w:basedOn w:val="Normal"/>
    <w:autoRedefine/>
    <w:rsid w:val="00E73169"/>
    <w:rPr>
      <w:b/>
      <w:szCs w:val="20"/>
    </w:rPr>
  </w:style>
  <w:style w:type="table" w:styleId="TableGrid">
    <w:name w:val="Table Grid"/>
    <w:basedOn w:val="TableNormal"/>
    <w:rsid w:val="004D0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0F93"/>
    <w:rPr>
      <w:color w:val="0000FF" w:themeColor="hyperlink"/>
      <w:u w:val="single"/>
    </w:rPr>
  </w:style>
  <w:style w:type="paragraph" w:styleId="BalloonText">
    <w:name w:val="Balloon Text"/>
    <w:basedOn w:val="Normal"/>
    <w:link w:val="BalloonTextChar"/>
    <w:rsid w:val="00EF752B"/>
    <w:rPr>
      <w:rFonts w:ascii="Tahoma" w:hAnsi="Tahoma" w:cs="Tahoma"/>
      <w:sz w:val="16"/>
      <w:szCs w:val="16"/>
    </w:rPr>
  </w:style>
  <w:style w:type="character" w:customStyle="1" w:styleId="BalloonTextChar">
    <w:name w:val="Balloon Text Char"/>
    <w:basedOn w:val="DefaultParagraphFont"/>
    <w:link w:val="BalloonText"/>
    <w:rsid w:val="00EF7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69"/>
    <w:pPr>
      <w:ind w:left="720"/>
      <w:contextualSpacing/>
    </w:pPr>
  </w:style>
  <w:style w:type="paragraph" w:customStyle="1" w:styleId="Default">
    <w:name w:val="Default"/>
    <w:rsid w:val="00E73169"/>
    <w:rPr>
      <w:rFonts w:ascii="Arial" w:hAnsi="Arial"/>
      <w:snapToGrid w:val="0"/>
      <w:color w:val="000000"/>
      <w:sz w:val="24"/>
      <w:lang w:eastAsia="en-US"/>
    </w:rPr>
  </w:style>
  <w:style w:type="paragraph" w:styleId="ListBullet">
    <w:name w:val="List Bullet"/>
    <w:basedOn w:val="Normal"/>
    <w:autoRedefine/>
    <w:rsid w:val="00E73169"/>
    <w:rPr>
      <w:b/>
      <w:szCs w:val="20"/>
    </w:rPr>
  </w:style>
  <w:style w:type="table" w:styleId="TableGrid">
    <w:name w:val="Table Grid"/>
    <w:basedOn w:val="TableNormal"/>
    <w:rsid w:val="004D0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80F93"/>
    <w:rPr>
      <w:color w:val="0000FF" w:themeColor="hyperlink"/>
      <w:u w:val="single"/>
    </w:rPr>
  </w:style>
  <w:style w:type="paragraph" w:styleId="BalloonText">
    <w:name w:val="Balloon Text"/>
    <w:basedOn w:val="Normal"/>
    <w:link w:val="BalloonTextChar"/>
    <w:rsid w:val="00EF752B"/>
    <w:rPr>
      <w:rFonts w:ascii="Tahoma" w:hAnsi="Tahoma" w:cs="Tahoma"/>
      <w:sz w:val="16"/>
      <w:szCs w:val="16"/>
    </w:rPr>
  </w:style>
  <w:style w:type="character" w:customStyle="1" w:styleId="BalloonTextChar">
    <w:name w:val="Balloon Text Char"/>
    <w:basedOn w:val="DefaultParagraphFont"/>
    <w:link w:val="BalloonText"/>
    <w:rsid w:val="00EF7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gr@swindon.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3B71-7F1A-442D-BA55-81B0504B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Sprason AEA(Dip)</dc:creator>
  <cp:lastModifiedBy>Ian &amp; Karen Jankinson</cp:lastModifiedBy>
  <cp:revision>3</cp:revision>
  <cp:lastPrinted>2015-12-29T23:57:00Z</cp:lastPrinted>
  <dcterms:created xsi:type="dcterms:W3CDTF">2015-12-30T00:01:00Z</dcterms:created>
  <dcterms:modified xsi:type="dcterms:W3CDTF">2015-12-30T00:01:00Z</dcterms:modified>
</cp:coreProperties>
</file>